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B61B8" w14:textId="77777777" w:rsidR="001546E3" w:rsidRPr="003C50FF" w:rsidRDefault="00AC385D" w:rsidP="00AC385D">
      <w:pPr>
        <w:pBdr>
          <w:bottom w:val="single" w:sz="4" w:space="1" w:color="auto"/>
        </w:pBdr>
        <w:jc w:val="center"/>
        <w:rPr>
          <w:rFonts w:ascii="Times New Roman" w:hAnsi="Times New Roman" w:cs="Times New Roman"/>
          <w:b/>
          <w:sz w:val="28"/>
          <w:szCs w:val="26"/>
        </w:rPr>
      </w:pPr>
      <w:r w:rsidRPr="003C50FF">
        <w:rPr>
          <w:rFonts w:ascii="Times New Roman" w:hAnsi="Times New Roman" w:cs="Times New Roman"/>
          <w:b/>
          <w:sz w:val="28"/>
          <w:szCs w:val="26"/>
        </w:rPr>
        <w:t>ЗАКЛЮЧЕНИЕ НАЦИОНАЛЬНОГО ИССЛЕДОВАТЕЛЬСКОГО УНИВЕРСИТЕТА «ВЫСШАЯ ШКОЛА ЭКОНОМИКИ» НА ПРОЕКТ ЗАКОН</w:t>
      </w:r>
      <w:bookmarkStart w:id="0" w:name="_GoBack"/>
      <w:bookmarkEnd w:id="0"/>
      <w:r w:rsidRPr="003C50FF">
        <w:rPr>
          <w:rFonts w:ascii="Times New Roman" w:hAnsi="Times New Roman" w:cs="Times New Roman"/>
          <w:b/>
          <w:sz w:val="28"/>
          <w:szCs w:val="26"/>
        </w:rPr>
        <w:t>А О ФЕДЕРАЛЬНОМ БЮДЖЕТЕ НА 2016 ГОД</w:t>
      </w:r>
    </w:p>
    <w:p w14:paraId="3CB0BEAA" w14:textId="77777777" w:rsidR="00C14876" w:rsidRPr="008D22BE" w:rsidRDefault="00C14876" w:rsidP="00AC385D">
      <w:pPr>
        <w:jc w:val="both"/>
        <w:rPr>
          <w:rFonts w:ascii="Times New Roman" w:hAnsi="Times New Roman" w:cs="Times New Roman"/>
          <w:sz w:val="26"/>
          <w:szCs w:val="26"/>
        </w:rPr>
      </w:pPr>
    </w:p>
    <w:sdt>
      <w:sdtPr>
        <w:rPr>
          <w:rFonts w:asciiTheme="minorHAnsi" w:eastAsiaTheme="minorHAnsi" w:hAnsiTheme="minorHAnsi" w:cstheme="minorBidi"/>
          <w:b w:val="0"/>
          <w:bCs w:val="0"/>
          <w:color w:val="auto"/>
          <w:szCs w:val="22"/>
          <w:lang w:eastAsia="en-US"/>
        </w:rPr>
        <w:id w:val="-758062896"/>
        <w:docPartObj>
          <w:docPartGallery w:val="Table of Contents"/>
          <w:docPartUnique/>
        </w:docPartObj>
      </w:sdtPr>
      <w:sdtEndPr>
        <w:rPr>
          <w:sz w:val="32"/>
        </w:rPr>
      </w:sdtEndPr>
      <w:sdtContent>
        <w:p w14:paraId="638F4C08" w14:textId="77777777" w:rsidR="008E362C" w:rsidRPr="003C50FF" w:rsidRDefault="008E362C" w:rsidP="008E362C">
          <w:pPr>
            <w:pStyle w:val="ad"/>
            <w:rPr>
              <w:sz w:val="52"/>
            </w:rPr>
          </w:pPr>
          <w:r w:rsidRPr="003C50FF">
            <w:rPr>
              <w:sz w:val="52"/>
            </w:rPr>
            <w:t>Оглавление</w:t>
          </w:r>
        </w:p>
        <w:p w14:paraId="3513072F" w14:textId="77777777" w:rsidR="003C50FF" w:rsidRPr="003C50FF" w:rsidRDefault="008E362C">
          <w:pPr>
            <w:pStyle w:val="11"/>
            <w:tabs>
              <w:tab w:val="right" w:leader="dot" w:pos="10195"/>
            </w:tabs>
            <w:rPr>
              <w:rFonts w:eastAsiaTheme="minorEastAsia"/>
              <w:noProof/>
              <w:sz w:val="28"/>
              <w:lang w:eastAsia="ru-RU"/>
            </w:rPr>
          </w:pPr>
          <w:r w:rsidRPr="003C50FF">
            <w:rPr>
              <w:sz w:val="44"/>
            </w:rPr>
            <w:fldChar w:fldCharType="begin"/>
          </w:r>
          <w:r w:rsidRPr="003C50FF">
            <w:rPr>
              <w:sz w:val="44"/>
            </w:rPr>
            <w:instrText xml:space="preserve"> TOC \o "1-3" \h \z \u </w:instrText>
          </w:r>
          <w:r w:rsidRPr="003C50FF">
            <w:rPr>
              <w:sz w:val="44"/>
            </w:rPr>
            <w:fldChar w:fldCharType="separate"/>
          </w:r>
          <w:hyperlink w:anchor="_Toc434260588" w:history="1">
            <w:r w:rsidR="003C50FF" w:rsidRPr="003C50FF">
              <w:rPr>
                <w:rStyle w:val="ae"/>
                <w:rFonts w:ascii="Times New Roman" w:hAnsi="Times New Roman" w:cs="Times New Roman"/>
                <w:noProof/>
                <w:sz w:val="28"/>
              </w:rPr>
              <w:t>1. Макроэкономическая ситуация и перспективы роста доходов</w:t>
            </w:r>
            <w:r w:rsidR="003C50FF" w:rsidRPr="003C50FF">
              <w:rPr>
                <w:noProof/>
                <w:webHidden/>
                <w:sz w:val="28"/>
              </w:rPr>
              <w:tab/>
            </w:r>
            <w:r w:rsidR="003C50FF" w:rsidRPr="003C50FF">
              <w:rPr>
                <w:noProof/>
                <w:webHidden/>
                <w:sz w:val="28"/>
              </w:rPr>
              <w:fldChar w:fldCharType="begin"/>
            </w:r>
            <w:r w:rsidR="003C50FF" w:rsidRPr="003C50FF">
              <w:rPr>
                <w:noProof/>
                <w:webHidden/>
                <w:sz w:val="28"/>
              </w:rPr>
              <w:instrText xml:space="preserve"> PAGEREF _Toc434260588 \h </w:instrText>
            </w:r>
            <w:r w:rsidR="003C50FF" w:rsidRPr="003C50FF">
              <w:rPr>
                <w:noProof/>
                <w:webHidden/>
                <w:sz w:val="28"/>
              </w:rPr>
            </w:r>
            <w:r w:rsidR="003C50FF" w:rsidRPr="003C50FF">
              <w:rPr>
                <w:noProof/>
                <w:webHidden/>
                <w:sz w:val="28"/>
              </w:rPr>
              <w:fldChar w:fldCharType="separate"/>
            </w:r>
            <w:r w:rsidR="003C50FF" w:rsidRPr="003C50FF">
              <w:rPr>
                <w:noProof/>
                <w:webHidden/>
                <w:sz w:val="28"/>
              </w:rPr>
              <w:t>2</w:t>
            </w:r>
            <w:r w:rsidR="003C50FF" w:rsidRPr="003C50FF">
              <w:rPr>
                <w:noProof/>
                <w:webHidden/>
                <w:sz w:val="28"/>
              </w:rPr>
              <w:fldChar w:fldCharType="end"/>
            </w:r>
          </w:hyperlink>
        </w:p>
        <w:p w14:paraId="3607540A" w14:textId="77777777" w:rsidR="003C50FF" w:rsidRPr="003C50FF" w:rsidRDefault="003C50FF">
          <w:pPr>
            <w:pStyle w:val="11"/>
            <w:tabs>
              <w:tab w:val="right" w:leader="dot" w:pos="10195"/>
            </w:tabs>
            <w:rPr>
              <w:rFonts w:eastAsiaTheme="minorEastAsia"/>
              <w:noProof/>
              <w:sz w:val="28"/>
              <w:lang w:eastAsia="ru-RU"/>
            </w:rPr>
          </w:pPr>
          <w:hyperlink w:anchor="_Toc434260589" w:history="1">
            <w:r w:rsidRPr="003C50FF">
              <w:rPr>
                <w:rStyle w:val="ae"/>
                <w:rFonts w:ascii="Times New Roman" w:hAnsi="Times New Roman" w:cs="Times New Roman"/>
                <w:noProof/>
                <w:sz w:val="28"/>
              </w:rPr>
              <w:t>2. Структурные проблемы расходной части бюджета</w:t>
            </w:r>
            <w:r w:rsidRPr="003C50FF">
              <w:rPr>
                <w:noProof/>
                <w:webHidden/>
                <w:sz w:val="28"/>
              </w:rPr>
              <w:tab/>
            </w:r>
            <w:r w:rsidRPr="003C50FF">
              <w:rPr>
                <w:noProof/>
                <w:webHidden/>
                <w:sz w:val="28"/>
              </w:rPr>
              <w:fldChar w:fldCharType="begin"/>
            </w:r>
            <w:r w:rsidRPr="003C50FF">
              <w:rPr>
                <w:noProof/>
                <w:webHidden/>
                <w:sz w:val="28"/>
              </w:rPr>
              <w:instrText xml:space="preserve"> PAGEREF _Toc434260589 \h </w:instrText>
            </w:r>
            <w:r w:rsidRPr="003C50FF">
              <w:rPr>
                <w:noProof/>
                <w:webHidden/>
                <w:sz w:val="28"/>
              </w:rPr>
            </w:r>
            <w:r w:rsidRPr="003C50FF">
              <w:rPr>
                <w:noProof/>
                <w:webHidden/>
                <w:sz w:val="28"/>
              </w:rPr>
              <w:fldChar w:fldCharType="separate"/>
            </w:r>
            <w:r w:rsidRPr="003C50FF">
              <w:rPr>
                <w:noProof/>
                <w:webHidden/>
                <w:sz w:val="28"/>
              </w:rPr>
              <w:t>3</w:t>
            </w:r>
            <w:r w:rsidRPr="003C50FF">
              <w:rPr>
                <w:noProof/>
                <w:webHidden/>
                <w:sz w:val="28"/>
              </w:rPr>
              <w:fldChar w:fldCharType="end"/>
            </w:r>
          </w:hyperlink>
        </w:p>
        <w:p w14:paraId="522FE5CA" w14:textId="77777777" w:rsidR="003C50FF" w:rsidRPr="003C50FF" w:rsidRDefault="003C50FF">
          <w:pPr>
            <w:pStyle w:val="11"/>
            <w:tabs>
              <w:tab w:val="right" w:leader="dot" w:pos="10195"/>
            </w:tabs>
            <w:rPr>
              <w:rFonts w:eastAsiaTheme="minorEastAsia"/>
              <w:noProof/>
              <w:sz w:val="28"/>
              <w:lang w:eastAsia="ru-RU"/>
            </w:rPr>
          </w:pPr>
          <w:hyperlink w:anchor="_Toc434260590" w:history="1">
            <w:r w:rsidRPr="003C50FF">
              <w:rPr>
                <w:rStyle w:val="ae"/>
                <w:rFonts w:ascii="Times New Roman" w:hAnsi="Times New Roman" w:cs="Times New Roman"/>
                <w:noProof/>
                <w:sz w:val="28"/>
              </w:rPr>
              <w:t>3. Межбюджетные трансферты из федерального бюджета субъектам Российской Федерации</w:t>
            </w:r>
            <w:r w:rsidRPr="003C50FF">
              <w:rPr>
                <w:noProof/>
                <w:webHidden/>
                <w:sz w:val="28"/>
              </w:rPr>
              <w:tab/>
            </w:r>
            <w:r w:rsidRPr="003C50FF">
              <w:rPr>
                <w:noProof/>
                <w:webHidden/>
                <w:sz w:val="28"/>
              </w:rPr>
              <w:fldChar w:fldCharType="begin"/>
            </w:r>
            <w:r w:rsidRPr="003C50FF">
              <w:rPr>
                <w:noProof/>
                <w:webHidden/>
                <w:sz w:val="28"/>
              </w:rPr>
              <w:instrText xml:space="preserve"> PAGEREF _Toc434260590 \h </w:instrText>
            </w:r>
            <w:r w:rsidRPr="003C50FF">
              <w:rPr>
                <w:noProof/>
                <w:webHidden/>
                <w:sz w:val="28"/>
              </w:rPr>
            </w:r>
            <w:r w:rsidRPr="003C50FF">
              <w:rPr>
                <w:noProof/>
                <w:webHidden/>
                <w:sz w:val="28"/>
              </w:rPr>
              <w:fldChar w:fldCharType="separate"/>
            </w:r>
            <w:r w:rsidRPr="003C50FF">
              <w:rPr>
                <w:noProof/>
                <w:webHidden/>
                <w:sz w:val="28"/>
              </w:rPr>
              <w:t>8</w:t>
            </w:r>
            <w:r w:rsidRPr="003C50FF">
              <w:rPr>
                <w:noProof/>
                <w:webHidden/>
                <w:sz w:val="28"/>
              </w:rPr>
              <w:fldChar w:fldCharType="end"/>
            </w:r>
          </w:hyperlink>
        </w:p>
        <w:p w14:paraId="128F4E47" w14:textId="77777777" w:rsidR="003C50FF" w:rsidRPr="003C50FF" w:rsidRDefault="003C50FF">
          <w:pPr>
            <w:pStyle w:val="11"/>
            <w:tabs>
              <w:tab w:val="right" w:leader="dot" w:pos="10195"/>
            </w:tabs>
            <w:rPr>
              <w:rFonts w:eastAsiaTheme="minorEastAsia"/>
              <w:noProof/>
              <w:sz w:val="28"/>
              <w:lang w:eastAsia="ru-RU"/>
            </w:rPr>
          </w:pPr>
          <w:hyperlink w:anchor="_Toc434260591" w:history="1">
            <w:r w:rsidRPr="003C50FF">
              <w:rPr>
                <w:rStyle w:val="ae"/>
                <w:rFonts w:ascii="Times New Roman" w:hAnsi="Times New Roman" w:cs="Times New Roman"/>
                <w:noProof/>
                <w:sz w:val="28"/>
              </w:rPr>
              <w:t>4. Расходы на образование</w:t>
            </w:r>
            <w:r w:rsidRPr="003C50FF">
              <w:rPr>
                <w:noProof/>
                <w:webHidden/>
                <w:sz w:val="28"/>
              </w:rPr>
              <w:tab/>
            </w:r>
            <w:r w:rsidRPr="003C50FF">
              <w:rPr>
                <w:noProof/>
                <w:webHidden/>
                <w:sz w:val="28"/>
              </w:rPr>
              <w:fldChar w:fldCharType="begin"/>
            </w:r>
            <w:r w:rsidRPr="003C50FF">
              <w:rPr>
                <w:noProof/>
                <w:webHidden/>
                <w:sz w:val="28"/>
              </w:rPr>
              <w:instrText xml:space="preserve"> PAGEREF _Toc434260591 \h </w:instrText>
            </w:r>
            <w:r w:rsidRPr="003C50FF">
              <w:rPr>
                <w:noProof/>
                <w:webHidden/>
                <w:sz w:val="28"/>
              </w:rPr>
            </w:r>
            <w:r w:rsidRPr="003C50FF">
              <w:rPr>
                <w:noProof/>
                <w:webHidden/>
                <w:sz w:val="28"/>
              </w:rPr>
              <w:fldChar w:fldCharType="separate"/>
            </w:r>
            <w:r w:rsidRPr="003C50FF">
              <w:rPr>
                <w:noProof/>
                <w:webHidden/>
                <w:sz w:val="28"/>
              </w:rPr>
              <w:t>12</w:t>
            </w:r>
            <w:r w:rsidRPr="003C50FF">
              <w:rPr>
                <w:noProof/>
                <w:webHidden/>
                <w:sz w:val="28"/>
              </w:rPr>
              <w:fldChar w:fldCharType="end"/>
            </w:r>
          </w:hyperlink>
        </w:p>
        <w:p w14:paraId="1EBAAFBE" w14:textId="77777777" w:rsidR="003C50FF" w:rsidRPr="003C50FF" w:rsidRDefault="003C50FF">
          <w:pPr>
            <w:pStyle w:val="11"/>
            <w:tabs>
              <w:tab w:val="right" w:leader="dot" w:pos="10195"/>
            </w:tabs>
            <w:rPr>
              <w:rFonts w:eastAsiaTheme="minorEastAsia"/>
              <w:noProof/>
              <w:sz w:val="28"/>
              <w:lang w:eastAsia="ru-RU"/>
            </w:rPr>
          </w:pPr>
          <w:hyperlink w:anchor="_Toc434260592" w:history="1">
            <w:r w:rsidRPr="003C50FF">
              <w:rPr>
                <w:rStyle w:val="ae"/>
                <w:rFonts w:ascii="Times New Roman" w:hAnsi="Times New Roman" w:cs="Times New Roman"/>
                <w:noProof/>
                <w:sz w:val="28"/>
              </w:rPr>
              <w:t>5. Расходы на здравоохранение</w:t>
            </w:r>
            <w:r w:rsidRPr="003C50FF">
              <w:rPr>
                <w:noProof/>
                <w:webHidden/>
                <w:sz w:val="28"/>
              </w:rPr>
              <w:tab/>
            </w:r>
            <w:r w:rsidRPr="003C50FF">
              <w:rPr>
                <w:noProof/>
                <w:webHidden/>
                <w:sz w:val="28"/>
              </w:rPr>
              <w:fldChar w:fldCharType="begin"/>
            </w:r>
            <w:r w:rsidRPr="003C50FF">
              <w:rPr>
                <w:noProof/>
                <w:webHidden/>
                <w:sz w:val="28"/>
              </w:rPr>
              <w:instrText xml:space="preserve"> PAGEREF _Toc434260592 \h </w:instrText>
            </w:r>
            <w:r w:rsidRPr="003C50FF">
              <w:rPr>
                <w:noProof/>
                <w:webHidden/>
                <w:sz w:val="28"/>
              </w:rPr>
            </w:r>
            <w:r w:rsidRPr="003C50FF">
              <w:rPr>
                <w:noProof/>
                <w:webHidden/>
                <w:sz w:val="28"/>
              </w:rPr>
              <w:fldChar w:fldCharType="separate"/>
            </w:r>
            <w:r w:rsidRPr="003C50FF">
              <w:rPr>
                <w:noProof/>
                <w:webHidden/>
                <w:sz w:val="28"/>
              </w:rPr>
              <w:t>15</w:t>
            </w:r>
            <w:r w:rsidRPr="003C50FF">
              <w:rPr>
                <w:noProof/>
                <w:webHidden/>
                <w:sz w:val="28"/>
              </w:rPr>
              <w:fldChar w:fldCharType="end"/>
            </w:r>
          </w:hyperlink>
        </w:p>
        <w:p w14:paraId="7AF4DD78" w14:textId="77777777" w:rsidR="003C50FF" w:rsidRPr="003C50FF" w:rsidRDefault="003C50FF">
          <w:pPr>
            <w:pStyle w:val="11"/>
            <w:tabs>
              <w:tab w:val="right" w:leader="dot" w:pos="10195"/>
            </w:tabs>
            <w:rPr>
              <w:rFonts w:eastAsiaTheme="minorEastAsia"/>
              <w:noProof/>
              <w:sz w:val="28"/>
              <w:lang w:eastAsia="ru-RU"/>
            </w:rPr>
          </w:pPr>
          <w:hyperlink w:anchor="_Toc434260593" w:history="1">
            <w:r w:rsidRPr="003C50FF">
              <w:rPr>
                <w:rStyle w:val="ae"/>
                <w:rFonts w:ascii="Times New Roman" w:hAnsi="Times New Roman" w:cs="Times New Roman"/>
                <w:noProof/>
                <w:sz w:val="28"/>
              </w:rPr>
              <w:t>6. Расходы в целях социальной защиты населения</w:t>
            </w:r>
            <w:r w:rsidRPr="003C50FF">
              <w:rPr>
                <w:noProof/>
                <w:webHidden/>
                <w:sz w:val="28"/>
              </w:rPr>
              <w:tab/>
            </w:r>
            <w:r w:rsidRPr="003C50FF">
              <w:rPr>
                <w:noProof/>
                <w:webHidden/>
                <w:sz w:val="28"/>
              </w:rPr>
              <w:fldChar w:fldCharType="begin"/>
            </w:r>
            <w:r w:rsidRPr="003C50FF">
              <w:rPr>
                <w:noProof/>
                <w:webHidden/>
                <w:sz w:val="28"/>
              </w:rPr>
              <w:instrText xml:space="preserve"> PAGEREF _Toc434260593 \h </w:instrText>
            </w:r>
            <w:r w:rsidRPr="003C50FF">
              <w:rPr>
                <w:noProof/>
                <w:webHidden/>
                <w:sz w:val="28"/>
              </w:rPr>
            </w:r>
            <w:r w:rsidRPr="003C50FF">
              <w:rPr>
                <w:noProof/>
                <w:webHidden/>
                <w:sz w:val="28"/>
              </w:rPr>
              <w:fldChar w:fldCharType="separate"/>
            </w:r>
            <w:r w:rsidRPr="003C50FF">
              <w:rPr>
                <w:noProof/>
                <w:webHidden/>
                <w:sz w:val="28"/>
              </w:rPr>
              <w:t>16</w:t>
            </w:r>
            <w:r w:rsidRPr="003C50FF">
              <w:rPr>
                <w:noProof/>
                <w:webHidden/>
                <w:sz w:val="28"/>
              </w:rPr>
              <w:fldChar w:fldCharType="end"/>
            </w:r>
          </w:hyperlink>
        </w:p>
        <w:p w14:paraId="1EE12F72" w14:textId="77777777" w:rsidR="003C50FF" w:rsidRPr="003C50FF" w:rsidRDefault="003C50FF">
          <w:pPr>
            <w:pStyle w:val="11"/>
            <w:tabs>
              <w:tab w:val="right" w:leader="dot" w:pos="10195"/>
            </w:tabs>
            <w:rPr>
              <w:rFonts w:eastAsiaTheme="minorEastAsia"/>
              <w:noProof/>
              <w:sz w:val="28"/>
              <w:lang w:eastAsia="ru-RU"/>
            </w:rPr>
          </w:pPr>
          <w:hyperlink w:anchor="_Toc434260594" w:history="1">
            <w:r w:rsidRPr="003C50FF">
              <w:rPr>
                <w:rStyle w:val="ae"/>
                <w:rFonts w:ascii="Times New Roman" w:hAnsi="Times New Roman" w:cs="Times New Roman"/>
                <w:noProof/>
                <w:sz w:val="28"/>
              </w:rPr>
              <w:t>7. Бюджетные расходы на науку</w:t>
            </w:r>
            <w:r w:rsidRPr="003C50FF">
              <w:rPr>
                <w:noProof/>
                <w:webHidden/>
                <w:sz w:val="28"/>
              </w:rPr>
              <w:tab/>
            </w:r>
            <w:r w:rsidRPr="003C50FF">
              <w:rPr>
                <w:noProof/>
                <w:webHidden/>
                <w:sz w:val="28"/>
              </w:rPr>
              <w:fldChar w:fldCharType="begin"/>
            </w:r>
            <w:r w:rsidRPr="003C50FF">
              <w:rPr>
                <w:noProof/>
                <w:webHidden/>
                <w:sz w:val="28"/>
              </w:rPr>
              <w:instrText xml:space="preserve"> PAGEREF _Toc434260594 \h </w:instrText>
            </w:r>
            <w:r w:rsidRPr="003C50FF">
              <w:rPr>
                <w:noProof/>
                <w:webHidden/>
                <w:sz w:val="28"/>
              </w:rPr>
            </w:r>
            <w:r w:rsidRPr="003C50FF">
              <w:rPr>
                <w:noProof/>
                <w:webHidden/>
                <w:sz w:val="28"/>
              </w:rPr>
              <w:fldChar w:fldCharType="separate"/>
            </w:r>
            <w:r w:rsidRPr="003C50FF">
              <w:rPr>
                <w:noProof/>
                <w:webHidden/>
                <w:sz w:val="28"/>
              </w:rPr>
              <w:t>21</w:t>
            </w:r>
            <w:r w:rsidRPr="003C50FF">
              <w:rPr>
                <w:noProof/>
                <w:webHidden/>
                <w:sz w:val="28"/>
              </w:rPr>
              <w:fldChar w:fldCharType="end"/>
            </w:r>
          </w:hyperlink>
        </w:p>
        <w:p w14:paraId="3FE5DCCA" w14:textId="77777777" w:rsidR="003C50FF" w:rsidRPr="003C50FF" w:rsidRDefault="003C50FF">
          <w:pPr>
            <w:pStyle w:val="11"/>
            <w:tabs>
              <w:tab w:val="right" w:leader="dot" w:pos="10195"/>
            </w:tabs>
            <w:rPr>
              <w:rFonts w:eastAsiaTheme="minorEastAsia"/>
              <w:noProof/>
              <w:sz w:val="28"/>
              <w:lang w:eastAsia="ru-RU"/>
            </w:rPr>
          </w:pPr>
          <w:hyperlink w:anchor="_Toc434260595" w:history="1">
            <w:r w:rsidRPr="003C50FF">
              <w:rPr>
                <w:rStyle w:val="ae"/>
                <w:rFonts w:ascii="Times New Roman" w:hAnsi="Times New Roman" w:cs="Times New Roman"/>
                <w:noProof/>
                <w:sz w:val="28"/>
              </w:rPr>
              <w:t>8. О резервах повышения эффективности бюджетных расходов</w:t>
            </w:r>
            <w:r w:rsidRPr="003C50FF">
              <w:rPr>
                <w:noProof/>
                <w:webHidden/>
                <w:sz w:val="28"/>
              </w:rPr>
              <w:tab/>
            </w:r>
            <w:r w:rsidRPr="003C50FF">
              <w:rPr>
                <w:noProof/>
                <w:webHidden/>
                <w:sz w:val="28"/>
              </w:rPr>
              <w:fldChar w:fldCharType="begin"/>
            </w:r>
            <w:r w:rsidRPr="003C50FF">
              <w:rPr>
                <w:noProof/>
                <w:webHidden/>
                <w:sz w:val="28"/>
              </w:rPr>
              <w:instrText xml:space="preserve"> PAGEREF _Toc434260595 \h </w:instrText>
            </w:r>
            <w:r w:rsidRPr="003C50FF">
              <w:rPr>
                <w:noProof/>
                <w:webHidden/>
                <w:sz w:val="28"/>
              </w:rPr>
            </w:r>
            <w:r w:rsidRPr="003C50FF">
              <w:rPr>
                <w:noProof/>
                <w:webHidden/>
                <w:sz w:val="28"/>
              </w:rPr>
              <w:fldChar w:fldCharType="separate"/>
            </w:r>
            <w:r w:rsidRPr="003C50FF">
              <w:rPr>
                <w:noProof/>
                <w:webHidden/>
                <w:sz w:val="28"/>
              </w:rPr>
              <w:t>23</w:t>
            </w:r>
            <w:r w:rsidRPr="003C50FF">
              <w:rPr>
                <w:noProof/>
                <w:webHidden/>
                <w:sz w:val="28"/>
              </w:rPr>
              <w:fldChar w:fldCharType="end"/>
            </w:r>
          </w:hyperlink>
        </w:p>
        <w:p w14:paraId="2FD1DD5E" w14:textId="77777777" w:rsidR="008E362C" w:rsidRPr="002A12F5" w:rsidRDefault="008E362C" w:rsidP="008E362C">
          <w:pPr>
            <w:rPr>
              <w:b/>
              <w:bCs/>
              <w:sz w:val="32"/>
            </w:rPr>
          </w:pPr>
          <w:r w:rsidRPr="003C50FF">
            <w:rPr>
              <w:b/>
              <w:bCs/>
              <w:sz w:val="44"/>
            </w:rPr>
            <w:fldChar w:fldCharType="end"/>
          </w:r>
        </w:p>
      </w:sdtContent>
    </w:sdt>
    <w:p w14:paraId="21263338" w14:textId="77777777" w:rsidR="008E362C" w:rsidRPr="002A12F5" w:rsidRDefault="008E362C" w:rsidP="00AC385D">
      <w:pPr>
        <w:jc w:val="both"/>
        <w:rPr>
          <w:rFonts w:ascii="Times New Roman" w:hAnsi="Times New Roman" w:cs="Times New Roman"/>
          <w:sz w:val="32"/>
          <w:szCs w:val="26"/>
          <w:lang w:val="en-US"/>
        </w:rPr>
      </w:pPr>
    </w:p>
    <w:p w14:paraId="5187BD8A" w14:textId="77777777" w:rsidR="008E362C" w:rsidRPr="008E362C" w:rsidRDefault="008E362C" w:rsidP="00AC385D">
      <w:pPr>
        <w:jc w:val="both"/>
        <w:rPr>
          <w:rFonts w:ascii="Times New Roman" w:hAnsi="Times New Roman" w:cs="Times New Roman"/>
          <w:sz w:val="26"/>
          <w:szCs w:val="26"/>
          <w:lang w:val="en-US"/>
        </w:rPr>
      </w:pPr>
    </w:p>
    <w:p w14:paraId="5F7F3AF0" w14:textId="77777777" w:rsidR="008E362C" w:rsidRDefault="008E362C">
      <w:pPr>
        <w:rPr>
          <w:rFonts w:ascii="Times New Roman" w:hAnsi="Times New Roman" w:cs="Times New Roman"/>
          <w:b/>
          <w:sz w:val="26"/>
          <w:szCs w:val="26"/>
        </w:rPr>
      </w:pPr>
      <w:r>
        <w:rPr>
          <w:rFonts w:ascii="Times New Roman" w:hAnsi="Times New Roman" w:cs="Times New Roman"/>
          <w:b/>
          <w:sz w:val="26"/>
          <w:szCs w:val="26"/>
        </w:rPr>
        <w:br w:type="page"/>
      </w:r>
    </w:p>
    <w:p w14:paraId="2F04E0EE" w14:textId="77777777" w:rsidR="006C1739" w:rsidRPr="008E362C" w:rsidRDefault="006C1739" w:rsidP="008E362C">
      <w:pPr>
        <w:pStyle w:val="1"/>
        <w:spacing w:before="240" w:after="240"/>
        <w:jc w:val="center"/>
        <w:rPr>
          <w:rFonts w:ascii="Times New Roman" w:hAnsi="Times New Roman" w:cs="Times New Roman"/>
          <w:color w:val="auto"/>
        </w:rPr>
      </w:pPr>
      <w:bookmarkStart w:id="1" w:name="_Toc434260588"/>
      <w:r w:rsidRPr="008E362C">
        <w:rPr>
          <w:rFonts w:ascii="Times New Roman" w:hAnsi="Times New Roman" w:cs="Times New Roman"/>
          <w:color w:val="auto"/>
        </w:rPr>
        <w:lastRenderedPageBreak/>
        <w:t>1. Макроэкономическая ситуа</w:t>
      </w:r>
      <w:r w:rsidR="00AC385D" w:rsidRPr="008E362C">
        <w:rPr>
          <w:rFonts w:ascii="Times New Roman" w:hAnsi="Times New Roman" w:cs="Times New Roman"/>
          <w:color w:val="auto"/>
        </w:rPr>
        <w:t>ция и перспективы роста доходов</w:t>
      </w:r>
      <w:bookmarkEnd w:id="1"/>
    </w:p>
    <w:p w14:paraId="6935D8D5" w14:textId="77777777" w:rsidR="00936A75" w:rsidRPr="00AC385D" w:rsidRDefault="00900CC6"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Проект закона о федеральном бюджете на 2016 год основан на достаточно консервативном прогнозе развития экономики</w:t>
      </w:r>
      <w:r w:rsidR="0085650E" w:rsidRPr="00AC385D">
        <w:rPr>
          <w:rFonts w:ascii="Times New Roman" w:hAnsi="Times New Roman" w:cs="Times New Roman"/>
          <w:sz w:val="26"/>
          <w:szCs w:val="26"/>
        </w:rPr>
        <w:t>, предполагающем, что</w:t>
      </w:r>
      <w:r w:rsidRPr="00AC385D">
        <w:rPr>
          <w:rFonts w:ascii="Times New Roman" w:hAnsi="Times New Roman" w:cs="Times New Roman"/>
          <w:sz w:val="26"/>
          <w:szCs w:val="26"/>
        </w:rPr>
        <w:t xml:space="preserve"> при цене на нефть в 50 долл. за баррель </w:t>
      </w:r>
      <w:r w:rsidR="0085650E" w:rsidRPr="00AC385D">
        <w:rPr>
          <w:rFonts w:ascii="Times New Roman" w:hAnsi="Times New Roman" w:cs="Times New Roman"/>
          <w:sz w:val="26"/>
          <w:szCs w:val="26"/>
        </w:rPr>
        <w:t xml:space="preserve">российский </w:t>
      </w:r>
      <w:r w:rsidRPr="00AC385D">
        <w:rPr>
          <w:rFonts w:ascii="Times New Roman" w:hAnsi="Times New Roman" w:cs="Times New Roman"/>
          <w:sz w:val="26"/>
          <w:szCs w:val="26"/>
        </w:rPr>
        <w:t>ВВП</w:t>
      </w:r>
      <w:r w:rsidR="0085650E" w:rsidRPr="00AC385D">
        <w:rPr>
          <w:rFonts w:ascii="Times New Roman" w:hAnsi="Times New Roman" w:cs="Times New Roman"/>
          <w:sz w:val="26"/>
          <w:szCs w:val="26"/>
        </w:rPr>
        <w:t xml:space="preserve"> вырастет на</w:t>
      </w:r>
      <w:r w:rsidRPr="00AC385D">
        <w:rPr>
          <w:rFonts w:ascii="Times New Roman" w:hAnsi="Times New Roman" w:cs="Times New Roman"/>
          <w:sz w:val="26"/>
          <w:szCs w:val="26"/>
        </w:rPr>
        <w:t xml:space="preserve"> </w:t>
      </w:r>
      <w:r w:rsidR="007F0FF2" w:rsidRPr="00AC385D">
        <w:rPr>
          <w:rFonts w:ascii="Times New Roman" w:hAnsi="Times New Roman" w:cs="Times New Roman"/>
          <w:sz w:val="26"/>
          <w:szCs w:val="26"/>
        </w:rPr>
        <w:t xml:space="preserve">0,7%. </w:t>
      </w:r>
      <w:r w:rsidR="00C14876" w:rsidRPr="00AC385D">
        <w:rPr>
          <w:rFonts w:ascii="Times New Roman" w:hAnsi="Times New Roman" w:cs="Times New Roman"/>
          <w:sz w:val="26"/>
          <w:szCs w:val="26"/>
        </w:rPr>
        <w:t xml:space="preserve">Следует отметить, что </w:t>
      </w:r>
      <w:r w:rsidR="0085650E" w:rsidRPr="00AC385D">
        <w:rPr>
          <w:rFonts w:ascii="Times New Roman" w:hAnsi="Times New Roman" w:cs="Times New Roman"/>
          <w:sz w:val="26"/>
          <w:szCs w:val="26"/>
        </w:rPr>
        <w:t>распространены и</w:t>
      </w:r>
      <w:r w:rsidR="00C14876" w:rsidRPr="00AC385D">
        <w:rPr>
          <w:rFonts w:ascii="Times New Roman" w:hAnsi="Times New Roman" w:cs="Times New Roman"/>
          <w:sz w:val="26"/>
          <w:szCs w:val="26"/>
        </w:rPr>
        <w:t xml:space="preserve"> более пессимистические оценки перспективной экономической динамики. </w:t>
      </w:r>
      <w:r w:rsidR="00936A75" w:rsidRPr="00AC385D">
        <w:rPr>
          <w:rFonts w:ascii="Times New Roman" w:hAnsi="Times New Roman" w:cs="Times New Roman"/>
          <w:sz w:val="26"/>
          <w:szCs w:val="26"/>
        </w:rPr>
        <w:t>В краткосрочном прогнозе МВФ, опубликованном в октябре 2015 года</w:t>
      </w:r>
      <w:r w:rsidR="00C14876" w:rsidRPr="00AC385D">
        <w:rPr>
          <w:rFonts w:ascii="Times New Roman" w:hAnsi="Times New Roman" w:cs="Times New Roman"/>
          <w:sz w:val="26"/>
          <w:szCs w:val="26"/>
        </w:rPr>
        <w:t>,</w:t>
      </w:r>
      <w:r w:rsidR="00936A75" w:rsidRPr="00AC385D">
        <w:rPr>
          <w:rFonts w:ascii="Times New Roman" w:hAnsi="Times New Roman" w:cs="Times New Roman"/>
          <w:sz w:val="26"/>
          <w:szCs w:val="26"/>
        </w:rPr>
        <w:t xml:space="preserve"> спад ВВП в 2015 году оценивается в 3,8%, что практически совпадает с оценкой Минэкономразвития</w:t>
      </w:r>
      <w:r w:rsidR="00AC385D">
        <w:rPr>
          <w:rFonts w:ascii="Times New Roman" w:hAnsi="Times New Roman" w:cs="Times New Roman"/>
          <w:sz w:val="26"/>
          <w:szCs w:val="26"/>
        </w:rPr>
        <w:t xml:space="preserve"> России</w:t>
      </w:r>
      <w:r w:rsidR="00936A75" w:rsidRPr="00AC385D">
        <w:rPr>
          <w:rFonts w:ascii="Times New Roman" w:hAnsi="Times New Roman" w:cs="Times New Roman"/>
          <w:sz w:val="26"/>
          <w:szCs w:val="26"/>
        </w:rPr>
        <w:t>. На 2016 год для России прогнозируется дальнейшее уменьшение</w:t>
      </w:r>
      <w:r w:rsidR="00AC385D" w:rsidRPr="00AC385D">
        <w:rPr>
          <w:rFonts w:ascii="Times New Roman" w:hAnsi="Times New Roman" w:cs="Times New Roman"/>
          <w:sz w:val="26"/>
          <w:szCs w:val="26"/>
        </w:rPr>
        <w:t xml:space="preserve"> </w:t>
      </w:r>
      <w:r w:rsidR="00936A75" w:rsidRPr="00AC385D">
        <w:rPr>
          <w:rFonts w:ascii="Times New Roman" w:hAnsi="Times New Roman" w:cs="Times New Roman"/>
          <w:sz w:val="26"/>
          <w:szCs w:val="26"/>
        </w:rPr>
        <w:t>ВВП</w:t>
      </w:r>
      <w:r w:rsidR="00AC385D" w:rsidRPr="00AC385D">
        <w:rPr>
          <w:rFonts w:ascii="Times New Roman" w:hAnsi="Times New Roman" w:cs="Times New Roman"/>
          <w:sz w:val="26"/>
          <w:szCs w:val="26"/>
        </w:rPr>
        <w:t xml:space="preserve"> </w:t>
      </w:r>
      <w:r w:rsidR="00936A75" w:rsidRPr="00AC385D">
        <w:rPr>
          <w:rFonts w:ascii="Times New Roman" w:hAnsi="Times New Roman" w:cs="Times New Roman"/>
          <w:sz w:val="26"/>
          <w:szCs w:val="26"/>
        </w:rPr>
        <w:t>на 0,6%, при ускорении роста мировой экономики с 3,1% до 3,6%. При этом, оценка МВФ динамики мировых цен на нефть даже несколько оптимистичнее, чем у Минэкономразвития</w:t>
      </w:r>
      <w:r w:rsidR="00AC385D">
        <w:rPr>
          <w:rFonts w:ascii="Times New Roman" w:hAnsi="Times New Roman" w:cs="Times New Roman"/>
          <w:sz w:val="26"/>
          <w:szCs w:val="26"/>
        </w:rPr>
        <w:t xml:space="preserve"> России</w:t>
      </w:r>
      <w:r w:rsidR="00936A75" w:rsidRPr="00AC385D">
        <w:rPr>
          <w:rFonts w:ascii="Times New Roman" w:hAnsi="Times New Roman" w:cs="Times New Roman"/>
          <w:sz w:val="26"/>
          <w:szCs w:val="26"/>
        </w:rPr>
        <w:t>.</w:t>
      </w:r>
    </w:p>
    <w:p w14:paraId="51CC636E" w14:textId="77777777" w:rsidR="006D6ADE" w:rsidRPr="00AC385D" w:rsidRDefault="006D6ADE"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 xml:space="preserve">В наборе документов, направленных в </w:t>
      </w:r>
      <w:r w:rsidR="00AC385D">
        <w:rPr>
          <w:rFonts w:ascii="Times New Roman" w:hAnsi="Times New Roman" w:cs="Times New Roman"/>
          <w:sz w:val="26"/>
          <w:szCs w:val="26"/>
        </w:rPr>
        <w:t xml:space="preserve">Государственную </w:t>
      </w:r>
      <w:r w:rsidRPr="00AC385D">
        <w:rPr>
          <w:rFonts w:ascii="Times New Roman" w:hAnsi="Times New Roman" w:cs="Times New Roman"/>
          <w:sz w:val="26"/>
          <w:szCs w:val="26"/>
        </w:rPr>
        <w:t>Думу, присутствуют «Основные направления бюджетной политики на 2016-2018 годы», подготовленные в июле текущего года под уже устаревший макро</w:t>
      </w:r>
      <w:r w:rsidR="00E21524" w:rsidRPr="00AC385D">
        <w:rPr>
          <w:rFonts w:ascii="Times New Roman" w:hAnsi="Times New Roman" w:cs="Times New Roman"/>
          <w:sz w:val="26"/>
          <w:szCs w:val="26"/>
        </w:rPr>
        <w:t xml:space="preserve">экономический </w:t>
      </w:r>
      <w:r w:rsidRPr="00AC385D">
        <w:rPr>
          <w:rFonts w:ascii="Times New Roman" w:hAnsi="Times New Roman" w:cs="Times New Roman"/>
          <w:sz w:val="26"/>
          <w:szCs w:val="26"/>
        </w:rPr>
        <w:t xml:space="preserve">прогноз с ценой нефти 60 долл. за баррель (на 2016 год). </w:t>
      </w:r>
      <w:r w:rsidR="009D30C7" w:rsidRPr="00AC385D">
        <w:rPr>
          <w:rFonts w:ascii="Times New Roman" w:hAnsi="Times New Roman" w:cs="Times New Roman"/>
          <w:sz w:val="26"/>
          <w:szCs w:val="26"/>
        </w:rPr>
        <w:t>Э</w:t>
      </w:r>
      <w:r w:rsidRPr="00AC385D">
        <w:rPr>
          <w:rFonts w:ascii="Times New Roman" w:hAnsi="Times New Roman" w:cs="Times New Roman"/>
          <w:sz w:val="26"/>
          <w:szCs w:val="26"/>
        </w:rPr>
        <w:t>то</w:t>
      </w:r>
      <w:r w:rsidR="00AC385D">
        <w:rPr>
          <w:rFonts w:ascii="Times New Roman" w:hAnsi="Times New Roman" w:cs="Times New Roman"/>
          <w:sz w:val="26"/>
          <w:szCs w:val="26"/>
        </w:rPr>
        <w:t>,</w:t>
      </w:r>
      <w:r w:rsidR="009D30C7" w:rsidRPr="00AC385D">
        <w:rPr>
          <w:rFonts w:ascii="Times New Roman" w:hAnsi="Times New Roman" w:cs="Times New Roman"/>
          <w:sz w:val="26"/>
          <w:szCs w:val="26"/>
        </w:rPr>
        <w:t xml:space="preserve"> однако</w:t>
      </w:r>
      <w:r w:rsidR="00AC385D">
        <w:rPr>
          <w:rFonts w:ascii="Times New Roman" w:hAnsi="Times New Roman" w:cs="Times New Roman"/>
          <w:sz w:val="26"/>
          <w:szCs w:val="26"/>
        </w:rPr>
        <w:t>,</w:t>
      </w:r>
      <w:r w:rsidRPr="00AC385D">
        <w:rPr>
          <w:rFonts w:ascii="Times New Roman" w:hAnsi="Times New Roman" w:cs="Times New Roman"/>
          <w:sz w:val="26"/>
          <w:szCs w:val="26"/>
        </w:rPr>
        <w:t xml:space="preserve"> позволяет легко сравнивать </w:t>
      </w:r>
      <w:r w:rsidR="009D30C7" w:rsidRPr="00AC385D">
        <w:rPr>
          <w:rFonts w:ascii="Times New Roman" w:hAnsi="Times New Roman" w:cs="Times New Roman"/>
          <w:sz w:val="26"/>
          <w:szCs w:val="26"/>
        </w:rPr>
        <w:t>прежние</w:t>
      </w:r>
      <w:r w:rsidRPr="00AC385D">
        <w:rPr>
          <w:rFonts w:ascii="Times New Roman" w:hAnsi="Times New Roman" w:cs="Times New Roman"/>
          <w:sz w:val="26"/>
          <w:szCs w:val="26"/>
        </w:rPr>
        <w:t xml:space="preserve"> и новые проектировки. По сравнению с июльским вариантом, </w:t>
      </w:r>
      <w:r w:rsidR="0085650E" w:rsidRPr="00AC385D">
        <w:rPr>
          <w:rFonts w:ascii="Times New Roman" w:hAnsi="Times New Roman" w:cs="Times New Roman"/>
          <w:sz w:val="26"/>
          <w:szCs w:val="26"/>
        </w:rPr>
        <w:t xml:space="preserve">ожидаемые в 2016 году </w:t>
      </w:r>
      <w:r w:rsidRPr="00AC385D">
        <w:rPr>
          <w:rFonts w:ascii="Times New Roman" w:hAnsi="Times New Roman" w:cs="Times New Roman"/>
          <w:sz w:val="26"/>
          <w:szCs w:val="26"/>
        </w:rPr>
        <w:t>доходы федерального бюджета сни</w:t>
      </w:r>
      <w:r w:rsidR="0085650E" w:rsidRPr="00AC385D">
        <w:rPr>
          <w:rFonts w:ascii="Times New Roman" w:hAnsi="Times New Roman" w:cs="Times New Roman"/>
          <w:sz w:val="26"/>
          <w:szCs w:val="26"/>
        </w:rPr>
        <w:t>жены</w:t>
      </w:r>
      <w:r w:rsidRPr="00AC385D">
        <w:rPr>
          <w:rFonts w:ascii="Times New Roman" w:hAnsi="Times New Roman" w:cs="Times New Roman"/>
          <w:sz w:val="26"/>
          <w:szCs w:val="26"/>
        </w:rPr>
        <w:t xml:space="preserve"> на 220 млрд.</w:t>
      </w:r>
      <w:r w:rsidR="00E21524" w:rsidRPr="00AC385D">
        <w:rPr>
          <w:rFonts w:ascii="Times New Roman" w:hAnsi="Times New Roman" w:cs="Times New Roman"/>
          <w:sz w:val="26"/>
          <w:szCs w:val="26"/>
        </w:rPr>
        <w:t xml:space="preserve"> </w:t>
      </w:r>
      <w:r w:rsidRPr="00AC385D">
        <w:rPr>
          <w:rFonts w:ascii="Times New Roman" w:hAnsi="Times New Roman" w:cs="Times New Roman"/>
          <w:sz w:val="26"/>
          <w:szCs w:val="26"/>
        </w:rPr>
        <w:t xml:space="preserve">руб., а </w:t>
      </w:r>
      <w:r w:rsidR="009D30C7" w:rsidRPr="00AC385D">
        <w:rPr>
          <w:rFonts w:ascii="Times New Roman" w:hAnsi="Times New Roman" w:cs="Times New Roman"/>
          <w:sz w:val="26"/>
          <w:szCs w:val="26"/>
        </w:rPr>
        <w:t xml:space="preserve">планируемые </w:t>
      </w:r>
      <w:r w:rsidRPr="00AC385D">
        <w:rPr>
          <w:rFonts w:ascii="Times New Roman" w:hAnsi="Times New Roman" w:cs="Times New Roman"/>
          <w:sz w:val="26"/>
          <w:szCs w:val="26"/>
        </w:rPr>
        <w:t>расходы увелич</w:t>
      </w:r>
      <w:r w:rsidR="009D30C7" w:rsidRPr="00AC385D">
        <w:rPr>
          <w:rFonts w:ascii="Times New Roman" w:hAnsi="Times New Roman" w:cs="Times New Roman"/>
          <w:sz w:val="26"/>
          <w:szCs w:val="26"/>
        </w:rPr>
        <w:t>ены</w:t>
      </w:r>
      <w:r w:rsidRPr="00AC385D">
        <w:rPr>
          <w:rFonts w:ascii="Times New Roman" w:hAnsi="Times New Roman" w:cs="Times New Roman"/>
          <w:sz w:val="26"/>
          <w:szCs w:val="26"/>
        </w:rPr>
        <w:t xml:space="preserve"> на 234 млрд.</w:t>
      </w:r>
      <w:r w:rsidR="00E21524" w:rsidRPr="00AC385D">
        <w:rPr>
          <w:rFonts w:ascii="Times New Roman" w:hAnsi="Times New Roman" w:cs="Times New Roman"/>
          <w:sz w:val="26"/>
          <w:szCs w:val="26"/>
        </w:rPr>
        <w:t xml:space="preserve"> </w:t>
      </w:r>
      <w:r w:rsidRPr="00AC385D">
        <w:rPr>
          <w:rFonts w:ascii="Times New Roman" w:hAnsi="Times New Roman" w:cs="Times New Roman"/>
          <w:sz w:val="26"/>
          <w:szCs w:val="26"/>
        </w:rPr>
        <w:t xml:space="preserve">руб. </w:t>
      </w:r>
      <w:r w:rsidR="009D30C7" w:rsidRPr="00AC385D">
        <w:rPr>
          <w:rFonts w:ascii="Times New Roman" w:hAnsi="Times New Roman" w:cs="Times New Roman"/>
          <w:sz w:val="26"/>
          <w:szCs w:val="26"/>
        </w:rPr>
        <w:t xml:space="preserve">В </w:t>
      </w:r>
      <w:r w:rsidRPr="00AC385D">
        <w:rPr>
          <w:rFonts w:ascii="Times New Roman" w:hAnsi="Times New Roman" w:cs="Times New Roman"/>
          <w:sz w:val="26"/>
          <w:szCs w:val="26"/>
        </w:rPr>
        <w:t>настоящее время основной макроэкономической проблемой построения федерального бюджета является балансировка доходов и расходов бюджета в условиях резкого падения цен на нефть. Проект бюджета на 2016 год показывает, что решение этой проблемы отложено на последующие годы. Этот тезис иллюстрируется данными</w:t>
      </w:r>
      <w:r w:rsidR="009D30C7" w:rsidRPr="00AC385D">
        <w:rPr>
          <w:rFonts w:ascii="Times New Roman" w:hAnsi="Times New Roman" w:cs="Times New Roman"/>
          <w:sz w:val="26"/>
          <w:szCs w:val="26"/>
        </w:rPr>
        <w:t xml:space="preserve"> </w:t>
      </w:r>
      <w:r w:rsidR="00AC385D">
        <w:rPr>
          <w:rFonts w:ascii="Times New Roman" w:hAnsi="Times New Roman" w:cs="Times New Roman"/>
          <w:sz w:val="26"/>
          <w:szCs w:val="26"/>
        </w:rPr>
        <w:t>(</w:t>
      </w:r>
      <w:r w:rsidR="009D30C7" w:rsidRPr="00AC385D">
        <w:rPr>
          <w:rFonts w:ascii="Times New Roman" w:hAnsi="Times New Roman" w:cs="Times New Roman"/>
          <w:sz w:val="26"/>
          <w:szCs w:val="26"/>
        </w:rPr>
        <w:t>Рис.</w:t>
      </w:r>
      <w:r w:rsidRPr="00AC385D">
        <w:rPr>
          <w:rFonts w:ascii="Times New Roman" w:hAnsi="Times New Roman" w:cs="Times New Roman"/>
          <w:sz w:val="26"/>
          <w:szCs w:val="26"/>
        </w:rPr>
        <w:t xml:space="preserve"> 1: при резком сокращении доходов федерального бюджета относительно ВВП (на 3 процентных пункта по сравнению с 2014 годом), снизить </w:t>
      </w:r>
      <w:r w:rsidR="009D30C7" w:rsidRPr="00AC385D">
        <w:rPr>
          <w:rFonts w:ascii="Times New Roman" w:hAnsi="Times New Roman" w:cs="Times New Roman"/>
          <w:sz w:val="26"/>
          <w:szCs w:val="26"/>
        </w:rPr>
        <w:t>уровень</w:t>
      </w:r>
      <w:r w:rsidRPr="00AC385D">
        <w:rPr>
          <w:rFonts w:ascii="Times New Roman" w:hAnsi="Times New Roman" w:cs="Times New Roman"/>
          <w:sz w:val="26"/>
          <w:szCs w:val="26"/>
        </w:rPr>
        <w:t xml:space="preserve"> расходов федерального бюджета </w:t>
      </w:r>
      <w:r w:rsidR="009D30C7" w:rsidRPr="00AC385D">
        <w:rPr>
          <w:rFonts w:ascii="Times New Roman" w:hAnsi="Times New Roman" w:cs="Times New Roman"/>
          <w:sz w:val="26"/>
          <w:szCs w:val="26"/>
        </w:rPr>
        <w:t>относительно</w:t>
      </w:r>
      <w:r w:rsidRPr="00AC385D">
        <w:rPr>
          <w:rFonts w:ascii="Times New Roman" w:hAnsi="Times New Roman" w:cs="Times New Roman"/>
          <w:sz w:val="26"/>
          <w:szCs w:val="26"/>
        </w:rPr>
        <w:t xml:space="preserve"> ВВП практически не удается</w:t>
      </w:r>
      <w:r w:rsidR="00AC385D">
        <w:rPr>
          <w:rFonts w:ascii="Times New Roman" w:hAnsi="Times New Roman" w:cs="Times New Roman"/>
          <w:sz w:val="26"/>
          <w:szCs w:val="26"/>
        </w:rPr>
        <w:t>)</w:t>
      </w:r>
      <w:r w:rsidRPr="00AC385D">
        <w:rPr>
          <w:rFonts w:ascii="Times New Roman" w:hAnsi="Times New Roman" w:cs="Times New Roman"/>
          <w:sz w:val="26"/>
          <w:szCs w:val="26"/>
        </w:rPr>
        <w:t>.</w:t>
      </w:r>
    </w:p>
    <w:p w14:paraId="290F5D10" w14:textId="77777777" w:rsidR="006D6ADE" w:rsidRPr="00AC385D" w:rsidRDefault="006D6ADE" w:rsidP="00AC385D">
      <w:pPr>
        <w:keepNext/>
        <w:spacing w:before="240"/>
        <w:jc w:val="center"/>
        <w:rPr>
          <w:rFonts w:ascii="Times New Roman" w:hAnsi="Times New Roman" w:cs="Times New Roman"/>
          <w:b/>
          <w:bCs/>
          <w:spacing w:val="-4"/>
          <w:sz w:val="26"/>
          <w:szCs w:val="26"/>
        </w:rPr>
      </w:pPr>
      <w:r w:rsidRPr="00AC385D">
        <w:rPr>
          <w:rFonts w:ascii="Times New Roman" w:hAnsi="Times New Roman" w:cs="Times New Roman"/>
          <w:b/>
          <w:bCs/>
          <w:spacing w:val="-4"/>
          <w:sz w:val="26"/>
          <w:szCs w:val="26"/>
        </w:rPr>
        <w:t>Рис. 1. Доходы, расходы и дефицит федерального бюджета, % ВВП</w:t>
      </w:r>
    </w:p>
    <w:p w14:paraId="4D71EA15" w14:textId="77777777" w:rsidR="006D6ADE" w:rsidRPr="00AC385D" w:rsidRDefault="006D6ADE" w:rsidP="00AC385D">
      <w:pPr>
        <w:pStyle w:val="GraphicHead"/>
        <w:spacing w:line="276" w:lineRule="auto"/>
        <w:jc w:val="center"/>
        <w:rPr>
          <w:rFonts w:ascii="Times New Roman" w:hAnsi="Times New Roman" w:cs="Times New Roman"/>
          <w:color w:val="auto"/>
          <w:sz w:val="26"/>
          <w:szCs w:val="26"/>
          <w:lang w:val="en-US" w:eastAsia="en-US"/>
        </w:rPr>
      </w:pPr>
      <w:r w:rsidRPr="00AC385D">
        <w:rPr>
          <w:rFonts w:ascii="Times New Roman" w:hAnsi="Times New Roman" w:cs="Times New Roman"/>
          <w:b w:val="0"/>
          <w:bCs w:val="0"/>
          <w:noProof/>
          <w:color w:val="auto"/>
          <w:sz w:val="26"/>
          <w:szCs w:val="26"/>
        </w:rPr>
        <w:drawing>
          <wp:inline distT="0" distB="0" distL="0" distR="0" wp14:anchorId="4844FF67" wp14:editId="1A06E3B8">
            <wp:extent cx="4216400" cy="238300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2127" cy="2380592"/>
                    </a:xfrm>
                    <a:prstGeom prst="rect">
                      <a:avLst/>
                    </a:prstGeom>
                    <a:noFill/>
                  </pic:spPr>
                </pic:pic>
              </a:graphicData>
            </a:graphic>
          </wp:inline>
        </w:drawing>
      </w:r>
    </w:p>
    <w:p w14:paraId="262DF51B" w14:textId="77777777" w:rsidR="006D6ADE" w:rsidRPr="008272B8" w:rsidRDefault="006D6ADE" w:rsidP="00AC385D">
      <w:pPr>
        <w:spacing w:before="20" w:after="240"/>
        <w:jc w:val="center"/>
        <w:rPr>
          <w:rFonts w:ascii="Times New Roman" w:hAnsi="Times New Roman" w:cs="Times New Roman"/>
        </w:rPr>
      </w:pPr>
      <w:r w:rsidRPr="008272B8">
        <w:rPr>
          <w:rFonts w:ascii="Times New Roman" w:hAnsi="Times New Roman" w:cs="Times New Roman"/>
          <w:i/>
        </w:rPr>
        <w:t xml:space="preserve">Источник: </w:t>
      </w:r>
      <w:r w:rsidRPr="008272B8">
        <w:rPr>
          <w:rFonts w:ascii="Times New Roman" w:hAnsi="Times New Roman" w:cs="Times New Roman"/>
        </w:rPr>
        <w:t>Минфин России, расчёты Инс</w:t>
      </w:r>
      <w:r w:rsidR="00AC385D" w:rsidRPr="008272B8">
        <w:rPr>
          <w:rFonts w:ascii="Times New Roman" w:hAnsi="Times New Roman" w:cs="Times New Roman"/>
        </w:rPr>
        <w:t>титута «Центр развития» НИУ ВШЭ</w:t>
      </w:r>
    </w:p>
    <w:p w14:paraId="4C20DF9B" w14:textId="77777777" w:rsidR="008B7A6D" w:rsidRPr="00AC385D" w:rsidRDefault="00DA6E68"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В соответствии с проектом закона о федеральном бюджете на 2016 год, доходы бюджета должны составить 13738,5 млрд.</w:t>
      </w:r>
      <w:r w:rsidR="0010563B" w:rsidRPr="00AC385D">
        <w:rPr>
          <w:rFonts w:ascii="Times New Roman" w:hAnsi="Times New Roman" w:cs="Times New Roman"/>
          <w:sz w:val="26"/>
          <w:szCs w:val="26"/>
        </w:rPr>
        <w:t xml:space="preserve"> </w:t>
      </w:r>
      <w:r w:rsidRPr="00AC385D">
        <w:rPr>
          <w:rFonts w:ascii="Times New Roman" w:hAnsi="Times New Roman" w:cs="Times New Roman"/>
          <w:sz w:val="26"/>
          <w:szCs w:val="26"/>
        </w:rPr>
        <w:t>руб.</w:t>
      </w:r>
      <w:r w:rsidR="00113B94" w:rsidRPr="00AC385D">
        <w:rPr>
          <w:rFonts w:ascii="Times New Roman" w:hAnsi="Times New Roman" w:cs="Times New Roman"/>
          <w:sz w:val="26"/>
          <w:szCs w:val="26"/>
        </w:rPr>
        <w:t xml:space="preserve"> </w:t>
      </w:r>
      <w:r w:rsidR="0010563B" w:rsidRPr="00AC385D">
        <w:rPr>
          <w:rFonts w:ascii="Times New Roman" w:hAnsi="Times New Roman" w:cs="Times New Roman"/>
          <w:sz w:val="26"/>
          <w:szCs w:val="26"/>
        </w:rPr>
        <w:t xml:space="preserve">против </w:t>
      </w:r>
      <w:r w:rsidR="0037760F" w:rsidRPr="00AC385D">
        <w:rPr>
          <w:rFonts w:ascii="Times New Roman" w:hAnsi="Times New Roman" w:cs="Times New Roman"/>
          <w:sz w:val="26"/>
          <w:szCs w:val="26"/>
        </w:rPr>
        <w:t>13251 млрд. руб.</w:t>
      </w:r>
      <w:r w:rsidR="0010563B" w:rsidRPr="00AC385D">
        <w:rPr>
          <w:rFonts w:ascii="Times New Roman" w:hAnsi="Times New Roman" w:cs="Times New Roman"/>
          <w:sz w:val="26"/>
          <w:szCs w:val="26"/>
        </w:rPr>
        <w:t xml:space="preserve"> в 2015 году </w:t>
      </w:r>
      <w:r w:rsidR="0010563B" w:rsidRPr="00AC385D">
        <w:rPr>
          <w:rFonts w:ascii="Times New Roman" w:hAnsi="Times New Roman" w:cs="Times New Roman"/>
          <w:sz w:val="26"/>
          <w:szCs w:val="26"/>
        </w:rPr>
        <w:lastRenderedPageBreak/>
        <w:t xml:space="preserve">(ожидаемое исполнение). </w:t>
      </w:r>
      <w:r w:rsidR="00AB196F" w:rsidRPr="00AC385D">
        <w:rPr>
          <w:rFonts w:ascii="Times New Roman" w:hAnsi="Times New Roman" w:cs="Times New Roman"/>
          <w:sz w:val="26"/>
          <w:szCs w:val="26"/>
        </w:rPr>
        <w:t>Чтобы выйти на этот объем,</w:t>
      </w:r>
      <w:r w:rsidR="00113B94" w:rsidRPr="00AC385D">
        <w:rPr>
          <w:rFonts w:ascii="Times New Roman" w:hAnsi="Times New Roman" w:cs="Times New Roman"/>
          <w:sz w:val="26"/>
          <w:szCs w:val="26"/>
        </w:rPr>
        <w:t xml:space="preserve"> был мобилизован ряд дополнительных доходных источников. Крупнейшим из них является повышение налоговой нагрузки в нефтяном секторе экономики. </w:t>
      </w:r>
      <w:r w:rsidR="00D3405C" w:rsidRPr="00AC385D">
        <w:rPr>
          <w:rFonts w:ascii="Times New Roman" w:hAnsi="Times New Roman" w:cs="Times New Roman"/>
          <w:sz w:val="26"/>
          <w:szCs w:val="26"/>
        </w:rPr>
        <w:t>На 2016 год сохраняется ставка вывозной пошлины на нефть на уро</w:t>
      </w:r>
      <w:r w:rsidR="0010563B" w:rsidRPr="00AC385D">
        <w:rPr>
          <w:rFonts w:ascii="Times New Roman" w:hAnsi="Times New Roman" w:cs="Times New Roman"/>
          <w:sz w:val="26"/>
          <w:szCs w:val="26"/>
        </w:rPr>
        <w:t>в</w:t>
      </w:r>
      <w:r w:rsidR="00D3405C" w:rsidRPr="00AC385D">
        <w:rPr>
          <w:rFonts w:ascii="Times New Roman" w:hAnsi="Times New Roman" w:cs="Times New Roman"/>
          <w:sz w:val="26"/>
          <w:szCs w:val="26"/>
        </w:rPr>
        <w:t xml:space="preserve">не 42% </w:t>
      </w:r>
      <w:r w:rsidR="0010563B" w:rsidRPr="00AC385D">
        <w:rPr>
          <w:rFonts w:ascii="Times New Roman" w:hAnsi="Times New Roman" w:cs="Times New Roman"/>
          <w:sz w:val="26"/>
          <w:szCs w:val="26"/>
        </w:rPr>
        <w:t>наряду с ранее</w:t>
      </w:r>
      <w:r w:rsidR="00AC385D">
        <w:rPr>
          <w:rFonts w:ascii="Times New Roman" w:hAnsi="Times New Roman" w:cs="Times New Roman"/>
          <w:sz w:val="26"/>
          <w:szCs w:val="26"/>
        </w:rPr>
        <w:t xml:space="preserve"> запланированны</w:t>
      </w:r>
      <w:r w:rsidR="00D3405C" w:rsidRPr="00AC385D">
        <w:rPr>
          <w:rFonts w:ascii="Times New Roman" w:hAnsi="Times New Roman" w:cs="Times New Roman"/>
          <w:sz w:val="26"/>
          <w:szCs w:val="26"/>
        </w:rPr>
        <w:t>м</w:t>
      </w:r>
      <w:r w:rsidR="0010563B" w:rsidRPr="00AC385D">
        <w:rPr>
          <w:rFonts w:ascii="Times New Roman" w:hAnsi="Times New Roman" w:cs="Times New Roman"/>
          <w:sz w:val="26"/>
          <w:szCs w:val="26"/>
        </w:rPr>
        <w:t xml:space="preserve"> </w:t>
      </w:r>
      <w:r w:rsidR="00D3405C" w:rsidRPr="00AC385D">
        <w:rPr>
          <w:rFonts w:ascii="Times New Roman" w:hAnsi="Times New Roman" w:cs="Times New Roman"/>
          <w:sz w:val="26"/>
          <w:szCs w:val="26"/>
        </w:rPr>
        <w:t>(заложенн</w:t>
      </w:r>
      <w:r w:rsidR="0010563B" w:rsidRPr="00AC385D">
        <w:rPr>
          <w:rFonts w:ascii="Times New Roman" w:hAnsi="Times New Roman" w:cs="Times New Roman"/>
          <w:sz w:val="26"/>
          <w:szCs w:val="26"/>
        </w:rPr>
        <w:t>ы</w:t>
      </w:r>
      <w:r w:rsidR="00D3405C" w:rsidRPr="00AC385D">
        <w:rPr>
          <w:rFonts w:ascii="Times New Roman" w:hAnsi="Times New Roman" w:cs="Times New Roman"/>
          <w:sz w:val="26"/>
          <w:szCs w:val="26"/>
        </w:rPr>
        <w:t>м в Налогов</w:t>
      </w:r>
      <w:r w:rsidR="0010563B" w:rsidRPr="00AC385D">
        <w:rPr>
          <w:rFonts w:ascii="Times New Roman" w:hAnsi="Times New Roman" w:cs="Times New Roman"/>
          <w:sz w:val="26"/>
          <w:szCs w:val="26"/>
        </w:rPr>
        <w:t>ый</w:t>
      </w:r>
      <w:r w:rsidR="00D3405C" w:rsidRPr="00AC385D">
        <w:rPr>
          <w:rFonts w:ascii="Times New Roman" w:hAnsi="Times New Roman" w:cs="Times New Roman"/>
          <w:sz w:val="26"/>
          <w:szCs w:val="26"/>
        </w:rPr>
        <w:t xml:space="preserve"> Кодекс) повышени</w:t>
      </w:r>
      <w:r w:rsidR="0010563B" w:rsidRPr="00AC385D">
        <w:rPr>
          <w:rFonts w:ascii="Times New Roman" w:hAnsi="Times New Roman" w:cs="Times New Roman"/>
          <w:sz w:val="26"/>
          <w:szCs w:val="26"/>
        </w:rPr>
        <w:t>ем</w:t>
      </w:r>
      <w:r w:rsidR="00D3405C" w:rsidRPr="00AC385D">
        <w:rPr>
          <w:rFonts w:ascii="Times New Roman" w:hAnsi="Times New Roman" w:cs="Times New Roman"/>
          <w:sz w:val="26"/>
          <w:szCs w:val="26"/>
        </w:rPr>
        <w:t xml:space="preserve"> налога на добычу полезных ископаемых на нефть.</w:t>
      </w:r>
      <w:r w:rsidR="00274F1C" w:rsidRPr="00AC385D">
        <w:rPr>
          <w:rFonts w:ascii="Times New Roman" w:hAnsi="Times New Roman" w:cs="Times New Roman"/>
          <w:sz w:val="26"/>
          <w:szCs w:val="26"/>
        </w:rPr>
        <w:t xml:space="preserve"> Ранее </w:t>
      </w:r>
      <w:r w:rsidR="0010563B" w:rsidRPr="00AC385D">
        <w:rPr>
          <w:rFonts w:ascii="Times New Roman" w:hAnsi="Times New Roman" w:cs="Times New Roman"/>
          <w:sz w:val="26"/>
          <w:szCs w:val="26"/>
        </w:rPr>
        <w:t>предполагалось, что</w:t>
      </w:r>
      <w:r w:rsidR="00274F1C" w:rsidRPr="00AC385D">
        <w:rPr>
          <w:rFonts w:ascii="Times New Roman" w:hAnsi="Times New Roman" w:cs="Times New Roman"/>
          <w:sz w:val="26"/>
          <w:szCs w:val="26"/>
        </w:rPr>
        <w:t xml:space="preserve"> ставк</w:t>
      </w:r>
      <w:r w:rsidR="0010563B" w:rsidRPr="00AC385D">
        <w:rPr>
          <w:rFonts w:ascii="Times New Roman" w:hAnsi="Times New Roman" w:cs="Times New Roman"/>
          <w:sz w:val="26"/>
          <w:szCs w:val="26"/>
        </w:rPr>
        <w:t>а</w:t>
      </w:r>
      <w:r w:rsidR="00274F1C" w:rsidRPr="00AC385D">
        <w:rPr>
          <w:rFonts w:ascii="Times New Roman" w:hAnsi="Times New Roman" w:cs="Times New Roman"/>
          <w:sz w:val="26"/>
          <w:szCs w:val="26"/>
        </w:rPr>
        <w:t xml:space="preserve"> вывозной пошлины на нефть </w:t>
      </w:r>
      <w:r w:rsidR="0010563B" w:rsidRPr="00AC385D">
        <w:rPr>
          <w:rFonts w:ascii="Times New Roman" w:hAnsi="Times New Roman" w:cs="Times New Roman"/>
          <w:sz w:val="26"/>
          <w:szCs w:val="26"/>
        </w:rPr>
        <w:t xml:space="preserve">в 2016 году будет снижена </w:t>
      </w:r>
      <w:r w:rsidR="00274F1C" w:rsidRPr="00AC385D">
        <w:rPr>
          <w:rFonts w:ascii="Times New Roman" w:hAnsi="Times New Roman" w:cs="Times New Roman"/>
          <w:sz w:val="26"/>
          <w:szCs w:val="26"/>
        </w:rPr>
        <w:t xml:space="preserve">до 36%. </w:t>
      </w:r>
      <w:r w:rsidR="00551EF5" w:rsidRPr="00AC385D">
        <w:rPr>
          <w:rFonts w:ascii="Times New Roman" w:hAnsi="Times New Roman" w:cs="Times New Roman"/>
          <w:sz w:val="26"/>
          <w:szCs w:val="26"/>
        </w:rPr>
        <w:t>Дополнительные бюджетные доходы от такого «</w:t>
      </w:r>
      <w:r w:rsidR="00AB196F" w:rsidRPr="00AC385D">
        <w:rPr>
          <w:rFonts w:ascii="Times New Roman" w:hAnsi="Times New Roman" w:cs="Times New Roman"/>
          <w:sz w:val="26"/>
          <w:szCs w:val="26"/>
        </w:rPr>
        <w:t>налогового</w:t>
      </w:r>
      <w:r w:rsidR="00551EF5" w:rsidRPr="00AC385D">
        <w:rPr>
          <w:rFonts w:ascii="Times New Roman" w:hAnsi="Times New Roman" w:cs="Times New Roman"/>
          <w:sz w:val="26"/>
          <w:szCs w:val="26"/>
        </w:rPr>
        <w:t xml:space="preserve"> маневра» в нефтяном секторе составляют около 200 млрд. руб. Дополнительно 112 млрд. руб. Правительство намерено получить за счет </w:t>
      </w:r>
      <w:r w:rsidR="008B7A6D" w:rsidRPr="00AC385D">
        <w:rPr>
          <w:rFonts w:ascii="Times New Roman" w:hAnsi="Times New Roman" w:cs="Times New Roman"/>
          <w:sz w:val="26"/>
          <w:szCs w:val="26"/>
        </w:rPr>
        <w:t>увеличения НДПИ на газ и газовый конденсат. Среди других экстренных мер по повышению доходов федерального бюджета выделим сохранение до конца 2016 года нормы в отношении зачисления в федеральный бюджет доходов от управления средствами Резервного фонда и ФНБ и повышение до 90% доли прибыли Банка России, подлежащей зачислению в федеральный бюджет.</w:t>
      </w:r>
      <w:r w:rsidR="00AC385D" w:rsidRPr="00AC385D">
        <w:rPr>
          <w:rFonts w:ascii="Times New Roman" w:hAnsi="Times New Roman" w:cs="Times New Roman"/>
          <w:sz w:val="26"/>
          <w:szCs w:val="26"/>
        </w:rPr>
        <w:t xml:space="preserve"> </w:t>
      </w:r>
    </w:p>
    <w:p w14:paraId="242F0C23" w14:textId="77777777" w:rsidR="00AB196F" w:rsidRPr="00AC385D" w:rsidRDefault="005C2AFD" w:rsidP="00AC385D">
      <w:pPr>
        <w:widowControl w:val="0"/>
        <w:ind w:firstLine="709"/>
        <w:jc w:val="both"/>
        <w:rPr>
          <w:rFonts w:ascii="Times New Roman" w:hAnsi="Times New Roman" w:cs="Times New Roman"/>
          <w:sz w:val="26"/>
          <w:szCs w:val="26"/>
        </w:rPr>
      </w:pPr>
      <w:r w:rsidRPr="00AC385D">
        <w:rPr>
          <w:rFonts w:ascii="Times New Roman" w:hAnsi="Times New Roman" w:cs="Times New Roman"/>
          <w:sz w:val="26"/>
          <w:szCs w:val="26"/>
        </w:rPr>
        <w:t xml:space="preserve">Повышение налоговой нагрузки в газовом секторе выглядит оправданным, поскольку в настоящее время ее уровень значительно ниже, чем в нефтяном секторе. Налоговая нагрузка в нефтяном секторе достаточно высока. Трудно </w:t>
      </w:r>
      <w:proofErr w:type="spellStart"/>
      <w:r w:rsidRPr="00AC385D">
        <w:rPr>
          <w:rFonts w:ascii="Times New Roman" w:hAnsi="Times New Roman" w:cs="Times New Roman"/>
          <w:sz w:val="26"/>
          <w:szCs w:val="26"/>
        </w:rPr>
        <w:t>экспертно</w:t>
      </w:r>
      <w:proofErr w:type="spellEnd"/>
      <w:r w:rsidRPr="00AC385D">
        <w:rPr>
          <w:rFonts w:ascii="Times New Roman" w:hAnsi="Times New Roman" w:cs="Times New Roman"/>
          <w:sz w:val="26"/>
          <w:szCs w:val="26"/>
        </w:rPr>
        <w:t xml:space="preserve"> оценить</w:t>
      </w:r>
      <w:r w:rsidR="00AB196F" w:rsidRPr="00AC385D">
        <w:rPr>
          <w:rFonts w:ascii="Times New Roman" w:hAnsi="Times New Roman" w:cs="Times New Roman"/>
          <w:sz w:val="26"/>
          <w:szCs w:val="26"/>
        </w:rPr>
        <w:t>,</w:t>
      </w:r>
      <w:r w:rsidRPr="00AC385D">
        <w:rPr>
          <w:rFonts w:ascii="Times New Roman" w:hAnsi="Times New Roman" w:cs="Times New Roman"/>
          <w:sz w:val="26"/>
          <w:szCs w:val="26"/>
        </w:rPr>
        <w:t xml:space="preserve"> как повлияет ее повышение на объем добычи нефти и инвестиционные проекты в 2016 году, можно оценить только падение прибыли у нефтяных компаний. В то же время, понятно, что самые дорогие проекты в нефтедобыче при повышении налогообложения становятся нерентабельными. Кроме того, необходимо принимать во внимание, что российская нефтедобыча в целом будет перемещаться на восток и север, что неизбежно приведет к росту себестоимости нефти. Поэтому, проблематичн</w:t>
      </w:r>
      <w:r w:rsidR="007451D0" w:rsidRPr="00AC385D">
        <w:rPr>
          <w:rFonts w:ascii="Times New Roman" w:hAnsi="Times New Roman" w:cs="Times New Roman"/>
          <w:sz w:val="26"/>
          <w:szCs w:val="26"/>
        </w:rPr>
        <w:t>ы</w:t>
      </w:r>
      <w:r w:rsidRPr="00AC385D">
        <w:rPr>
          <w:rFonts w:ascii="Times New Roman" w:hAnsi="Times New Roman" w:cs="Times New Roman"/>
          <w:sz w:val="26"/>
          <w:szCs w:val="26"/>
        </w:rPr>
        <w:t>м является дальнейшее использование инструмента повышения налоговой нагрузки в нефтяном секторе в 2017, 2018 и последующих годах.</w:t>
      </w:r>
    </w:p>
    <w:p w14:paraId="3BF1517D" w14:textId="77777777" w:rsidR="00AB196F" w:rsidRPr="00AC385D" w:rsidRDefault="009D1301"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 xml:space="preserve">Увеличение опоры бюджета на нефтегазовые поступления (даже несмотря на снижение их доли до 43% против 45% в бюджете на 2015 год) </w:t>
      </w:r>
      <w:r w:rsidR="00095383" w:rsidRPr="00AC385D">
        <w:rPr>
          <w:rFonts w:ascii="Times New Roman" w:hAnsi="Times New Roman" w:cs="Times New Roman"/>
          <w:sz w:val="26"/>
          <w:szCs w:val="26"/>
        </w:rPr>
        <w:t xml:space="preserve">с точки зрения бюджетной устойчивости </w:t>
      </w:r>
      <w:r w:rsidRPr="00AC385D">
        <w:rPr>
          <w:rFonts w:ascii="Times New Roman" w:hAnsi="Times New Roman" w:cs="Times New Roman"/>
          <w:sz w:val="26"/>
          <w:szCs w:val="26"/>
        </w:rPr>
        <w:t xml:space="preserve">вызывает опасения ввиду отсутствия перспектив их замещения другими доходами (ожидаемый рост </w:t>
      </w:r>
      <w:proofErr w:type="spellStart"/>
      <w:r w:rsidRPr="00AC385D">
        <w:rPr>
          <w:rFonts w:ascii="Times New Roman" w:hAnsi="Times New Roman" w:cs="Times New Roman"/>
          <w:sz w:val="26"/>
          <w:szCs w:val="26"/>
        </w:rPr>
        <w:t>ненефтегазовых</w:t>
      </w:r>
      <w:proofErr w:type="spellEnd"/>
      <w:r w:rsidRPr="00AC385D">
        <w:rPr>
          <w:rFonts w:ascii="Times New Roman" w:hAnsi="Times New Roman" w:cs="Times New Roman"/>
          <w:sz w:val="26"/>
          <w:szCs w:val="26"/>
        </w:rPr>
        <w:t xml:space="preserve"> поступлений не превышает 4%). Между тем</w:t>
      </w:r>
      <w:r w:rsidR="00AC385D">
        <w:rPr>
          <w:rFonts w:ascii="Times New Roman" w:hAnsi="Times New Roman" w:cs="Times New Roman"/>
          <w:sz w:val="26"/>
          <w:szCs w:val="26"/>
        </w:rPr>
        <w:t>,</w:t>
      </w:r>
      <w:r w:rsidRPr="00AC385D">
        <w:rPr>
          <w:rFonts w:ascii="Times New Roman" w:hAnsi="Times New Roman" w:cs="Times New Roman"/>
          <w:sz w:val="26"/>
          <w:szCs w:val="26"/>
        </w:rPr>
        <w:t xml:space="preserve"> негативную динамику российского экспорта</w:t>
      </w:r>
      <w:r w:rsidR="0069516A" w:rsidRPr="00AC385D">
        <w:rPr>
          <w:rFonts w:ascii="Times New Roman" w:hAnsi="Times New Roman" w:cs="Times New Roman"/>
          <w:sz w:val="26"/>
          <w:szCs w:val="26"/>
        </w:rPr>
        <w:t xml:space="preserve"> формируют не только низкие цены на нефть, металлы и промышленные товары на мировых рынках</w:t>
      </w:r>
      <w:r w:rsidRPr="00AC385D">
        <w:rPr>
          <w:rFonts w:ascii="Times New Roman" w:hAnsi="Times New Roman" w:cs="Times New Roman"/>
          <w:sz w:val="26"/>
          <w:szCs w:val="26"/>
        </w:rPr>
        <w:t xml:space="preserve">, </w:t>
      </w:r>
      <w:r w:rsidR="0069516A" w:rsidRPr="00AC385D">
        <w:rPr>
          <w:rFonts w:ascii="Times New Roman" w:hAnsi="Times New Roman" w:cs="Times New Roman"/>
          <w:sz w:val="26"/>
          <w:szCs w:val="26"/>
        </w:rPr>
        <w:t xml:space="preserve">но и усиление </w:t>
      </w:r>
      <w:r w:rsidRPr="00AC385D">
        <w:rPr>
          <w:rFonts w:ascii="Times New Roman" w:hAnsi="Times New Roman" w:cs="Times New Roman"/>
          <w:sz w:val="26"/>
          <w:szCs w:val="26"/>
        </w:rPr>
        <w:t xml:space="preserve">конкуренции за поставки углеводородов в Европу и </w:t>
      </w:r>
      <w:r w:rsidR="0069516A" w:rsidRPr="00AC385D">
        <w:rPr>
          <w:rFonts w:ascii="Times New Roman" w:hAnsi="Times New Roman" w:cs="Times New Roman"/>
          <w:sz w:val="26"/>
          <w:szCs w:val="26"/>
        </w:rPr>
        <w:t xml:space="preserve">перспективы </w:t>
      </w:r>
      <w:r w:rsidRPr="00AC385D">
        <w:rPr>
          <w:rFonts w:ascii="Times New Roman" w:hAnsi="Times New Roman" w:cs="Times New Roman"/>
          <w:sz w:val="26"/>
          <w:szCs w:val="26"/>
        </w:rPr>
        <w:t>сокращения зависимости европейских потребителей от российских энергоносителей. Указанные процессы увеличивают неопределенность не только относительно цен, но и относительно будущих объемов экспорта углеводородов. Увеличение в таких условиях опоры федерального бюджета на нефтегазовые поступления в долгосрочном плане большого смысла не имеет.</w:t>
      </w:r>
    </w:p>
    <w:p w14:paraId="33CFF9C9" w14:textId="77777777" w:rsidR="005C2AFD" w:rsidRPr="008E362C" w:rsidRDefault="006C1739" w:rsidP="008E362C">
      <w:pPr>
        <w:pStyle w:val="1"/>
        <w:spacing w:before="240" w:after="240"/>
        <w:jc w:val="center"/>
        <w:rPr>
          <w:rFonts w:ascii="Times New Roman" w:hAnsi="Times New Roman" w:cs="Times New Roman"/>
          <w:color w:val="auto"/>
        </w:rPr>
      </w:pPr>
      <w:bookmarkStart w:id="2" w:name="_Toc434260589"/>
      <w:r w:rsidRPr="008E362C">
        <w:rPr>
          <w:rFonts w:ascii="Times New Roman" w:hAnsi="Times New Roman" w:cs="Times New Roman"/>
          <w:color w:val="auto"/>
        </w:rPr>
        <w:t xml:space="preserve">2. Структурные проблемы </w:t>
      </w:r>
      <w:r w:rsidR="00557323" w:rsidRPr="008E362C">
        <w:rPr>
          <w:rFonts w:ascii="Times New Roman" w:hAnsi="Times New Roman" w:cs="Times New Roman"/>
          <w:color w:val="auto"/>
        </w:rPr>
        <w:t>расходной части бюджета</w:t>
      </w:r>
      <w:bookmarkEnd w:id="2"/>
    </w:p>
    <w:p w14:paraId="4CAE5189" w14:textId="77777777" w:rsidR="00900CC6" w:rsidRPr="00AC385D" w:rsidRDefault="005C2AFD"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 xml:space="preserve">Повышение доходов федерального бюджета, в том числе за счет </w:t>
      </w:r>
      <w:r w:rsidR="006D6ADE" w:rsidRPr="00AC385D">
        <w:rPr>
          <w:rFonts w:ascii="Times New Roman" w:hAnsi="Times New Roman" w:cs="Times New Roman"/>
          <w:sz w:val="26"/>
          <w:szCs w:val="26"/>
        </w:rPr>
        <w:t xml:space="preserve">повышения налоговой нагрузки, позволило увеличить расходы федерального бюджета при заданном «сверху» дефиците в 3% ВВП. </w:t>
      </w:r>
      <w:r w:rsidR="00557323" w:rsidRPr="00AC385D">
        <w:rPr>
          <w:rFonts w:ascii="Times New Roman" w:hAnsi="Times New Roman" w:cs="Times New Roman"/>
          <w:sz w:val="26"/>
          <w:szCs w:val="26"/>
        </w:rPr>
        <w:t>С</w:t>
      </w:r>
      <w:r w:rsidR="00663A0B" w:rsidRPr="00AC385D">
        <w:rPr>
          <w:rFonts w:ascii="Times New Roman" w:hAnsi="Times New Roman" w:cs="Times New Roman"/>
          <w:sz w:val="26"/>
          <w:szCs w:val="26"/>
        </w:rPr>
        <w:t>труктур</w:t>
      </w:r>
      <w:r w:rsidR="00557323" w:rsidRPr="00AC385D">
        <w:rPr>
          <w:rFonts w:ascii="Times New Roman" w:hAnsi="Times New Roman" w:cs="Times New Roman"/>
          <w:sz w:val="26"/>
          <w:szCs w:val="26"/>
        </w:rPr>
        <w:t>а</w:t>
      </w:r>
      <w:r w:rsidR="00663A0B" w:rsidRPr="00AC385D">
        <w:rPr>
          <w:rFonts w:ascii="Times New Roman" w:hAnsi="Times New Roman" w:cs="Times New Roman"/>
          <w:sz w:val="26"/>
          <w:szCs w:val="26"/>
        </w:rPr>
        <w:t xml:space="preserve"> расходов бюджета и расходны</w:t>
      </w:r>
      <w:r w:rsidR="00557323" w:rsidRPr="00AC385D">
        <w:rPr>
          <w:rFonts w:ascii="Times New Roman" w:hAnsi="Times New Roman" w:cs="Times New Roman"/>
          <w:sz w:val="26"/>
          <w:szCs w:val="26"/>
        </w:rPr>
        <w:t>е</w:t>
      </w:r>
      <w:r w:rsidR="00663A0B" w:rsidRPr="00AC385D">
        <w:rPr>
          <w:rFonts w:ascii="Times New Roman" w:hAnsi="Times New Roman" w:cs="Times New Roman"/>
          <w:sz w:val="26"/>
          <w:szCs w:val="26"/>
        </w:rPr>
        <w:t xml:space="preserve"> приоритет</w:t>
      </w:r>
      <w:r w:rsidR="00557323" w:rsidRPr="00AC385D">
        <w:rPr>
          <w:rFonts w:ascii="Times New Roman" w:hAnsi="Times New Roman" w:cs="Times New Roman"/>
          <w:sz w:val="26"/>
          <w:szCs w:val="26"/>
        </w:rPr>
        <w:t>ы</w:t>
      </w:r>
      <w:r w:rsidR="00663A0B" w:rsidRPr="00AC385D">
        <w:rPr>
          <w:rFonts w:ascii="Times New Roman" w:hAnsi="Times New Roman" w:cs="Times New Roman"/>
          <w:sz w:val="26"/>
          <w:szCs w:val="26"/>
        </w:rPr>
        <w:t xml:space="preserve"> за последние пять лет</w:t>
      </w:r>
      <w:r w:rsidR="00557323" w:rsidRPr="00AC385D">
        <w:rPr>
          <w:rFonts w:ascii="Times New Roman" w:hAnsi="Times New Roman" w:cs="Times New Roman"/>
          <w:sz w:val="26"/>
          <w:szCs w:val="26"/>
        </w:rPr>
        <w:t xml:space="preserve"> заметно изменились.</w:t>
      </w:r>
    </w:p>
    <w:p w14:paraId="567AD37A" w14:textId="77777777" w:rsidR="00C7036E" w:rsidRPr="00AC385D" w:rsidRDefault="00C7036E" w:rsidP="008272B8">
      <w:pPr>
        <w:keepNext/>
        <w:spacing w:before="240"/>
        <w:jc w:val="center"/>
        <w:rPr>
          <w:rFonts w:ascii="Times New Roman" w:hAnsi="Times New Roman" w:cs="Times New Roman"/>
          <w:b/>
          <w:bCs/>
          <w:spacing w:val="-4"/>
          <w:sz w:val="26"/>
          <w:szCs w:val="26"/>
        </w:rPr>
      </w:pPr>
      <w:r w:rsidRPr="00AC385D">
        <w:rPr>
          <w:rFonts w:ascii="Times New Roman" w:hAnsi="Times New Roman" w:cs="Times New Roman"/>
          <w:b/>
          <w:bCs/>
          <w:spacing w:val="-4"/>
          <w:sz w:val="26"/>
          <w:szCs w:val="26"/>
        </w:rPr>
        <w:lastRenderedPageBreak/>
        <w:t>Таблица.1. Структура расходов федерального бюджета, %</w:t>
      </w:r>
    </w:p>
    <w:tbl>
      <w:tblPr>
        <w:tblW w:w="7760" w:type="dxa"/>
        <w:jc w:val="center"/>
        <w:tblInd w:w="93" w:type="dxa"/>
        <w:tblLook w:val="04A0" w:firstRow="1" w:lastRow="0" w:firstColumn="1" w:lastColumn="0" w:noHBand="0" w:noVBand="1"/>
      </w:tblPr>
      <w:tblGrid>
        <w:gridCol w:w="2960"/>
        <w:gridCol w:w="960"/>
        <w:gridCol w:w="960"/>
        <w:gridCol w:w="960"/>
        <w:gridCol w:w="960"/>
        <w:gridCol w:w="960"/>
      </w:tblGrid>
      <w:tr w:rsidR="00663A0B" w:rsidRPr="008272B8" w14:paraId="30C02C35" w14:textId="77777777" w:rsidTr="008272B8">
        <w:trPr>
          <w:trHeight w:val="312"/>
          <w:jc w:val="center"/>
        </w:trPr>
        <w:tc>
          <w:tcPr>
            <w:tcW w:w="2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FDFF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90ED441"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2012</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8F181D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2013</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140E6F0B"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08C6C859"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2015</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D00BF8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2016</w:t>
            </w:r>
          </w:p>
        </w:tc>
      </w:tr>
      <w:tr w:rsidR="00663A0B" w:rsidRPr="008272B8" w14:paraId="44792504"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76CAD64" w14:textId="77777777" w:rsidR="00663A0B" w:rsidRPr="008272B8" w:rsidRDefault="00663A0B"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 xml:space="preserve">Всего </w:t>
            </w:r>
          </w:p>
        </w:tc>
        <w:tc>
          <w:tcPr>
            <w:tcW w:w="960" w:type="dxa"/>
            <w:tcBorders>
              <w:top w:val="nil"/>
              <w:left w:val="nil"/>
              <w:bottom w:val="single" w:sz="4" w:space="0" w:color="auto"/>
              <w:right w:val="single" w:sz="4" w:space="0" w:color="auto"/>
            </w:tcBorders>
            <w:shd w:val="clear" w:color="auto" w:fill="auto"/>
            <w:noWrap/>
            <w:vAlign w:val="center"/>
            <w:hideMark/>
          </w:tcPr>
          <w:p w14:paraId="7F44C1BF" w14:textId="77777777" w:rsidR="00663A0B" w:rsidRPr="008272B8" w:rsidRDefault="00663A0B"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0BC9B639" w14:textId="77777777" w:rsidR="00663A0B" w:rsidRPr="008272B8" w:rsidRDefault="00663A0B"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546069AB" w14:textId="77777777" w:rsidR="00663A0B" w:rsidRPr="008272B8" w:rsidRDefault="00663A0B"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11C2B178" w14:textId="77777777" w:rsidR="00663A0B" w:rsidRPr="008272B8" w:rsidRDefault="00663A0B"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center"/>
            <w:hideMark/>
          </w:tcPr>
          <w:p w14:paraId="751F1518" w14:textId="77777777" w:rsidR="00663A0B" w:rsidRPr="008272B8" w:rsidRDefault="00663A0B"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100</w:t>
            </w:r>
          </w:p>
        </w:tc>
      </w:tr>
      <w:tr w:rsidR="00663A0B" w:rsidRPr="008272B8" w14:paraId="61EDFAF5" w14:textId="77777777" w:rsidTr="008272B8">
        <w:trPr>
          <w:trHeight w:val="624"/>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768DE87C"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Общегосударственные вопросы</w:t>
            </w:r>
          </w:p>
        </w:tc>
        <w:tc>
          <w:tcPr>
            <w:tcW w:w="960" w:type="dxa"/>
            <w:tcBorders>
              <w:top w:val="nil"/>
              <w:left w:val="nil"/>
              <w:bottom w:val="single" w:sz="4" w:space="0" w:color="auto"/>
              <w:right w:val="single" w:sz="4" w:space="0" w:color="auto"/>
            </w:tcBorders>
            <w:shd w:val="clear" w:color="000000" w:fill="FFFFFF"/>
            <w:noWrap/>
            <w:vAlign w:val="center"/>
            <w:hideMark/>
          </w:tcPr>
          <w:p w14:paraId="3D1CDBA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6,3</w:t>
            </w:r>
          </w:p>
        </w:tc>
        <w:tc>
          <w:tcPr>
            <w:tcW w:w="960" w:type="dxa"/>
            <w:tcBorders>
              <w:top w:val="nil"/>
              <w:left w:val="nil"/>
              <w:bottom w:val="single" w:sz="4" w:space="0" w:color="auto"/>
              <w:right w:val="single" w:sz="4" w:space="0" w:color="auto"/>
            </w:tcBorders>
            <w:shd w:val="clear" w:color="000000" w:fill="FFFFFF"/>
            <w:noWrap/>
            <w:vAlign w:val="center"/>
            <w:hideMark/>
          </w:tcPr>
          <w:p w14:paraId="172454CA"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6,4</w:t>
            </w:r>
          </w:p>
        </w:tc>
        <w:tc>
          <w:tcPr>
            <w:tcW w:w="960" w:type="dxa"/>
            <w:tcBorders>
              <w:top w:val="nil"/>
              <w:left w:val="nil"/>
              <w:bottom w:val="single" w:sz="4" w:space="0" w:color="auto"/>
              <w:right w:val="single" w:sz="4" w:space="0" w:color="auto"/>
            </w:tcBorders>
            <w:shd w:val="clear" w:color="000000" w:fill="FFFFFF"/>
            <w:noWrap/>
            <w:vAlign w:val="center"/>
            <w:hideMark/>
          </w:tcPr>
          <w:p w14:paraId="67D59429"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6,3</w:t>
            </w:r>
          </w:p>
        </w:tc>
        <w:tc>
          <w:tcPr>
            <w:tcW w:w="960" w:type="dxa"/>
            <w:tcBorders>
              <w:top w:val="nil"/>
              <w:left w:val="nil"/>
              <w:bottom w:val="single" w:sz="4" w:space="0" w:color="auto"/>
              <w:right w:val="single" w:sz="4" w:space="0" w:color="auto"/>
            </w:tcBorders>
            <w:shd w:val="clear" w:color="000000" w:fill="FFFFFF"/>
            <w:noWrap/>
            <w:vAlign w:val="center"/>
            <w:hideMark/>
          </w:tcPr>
          <w:p w14:paraId="07A1CD61"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7,2</w:t>
            </w:r>
          </w:p>
        </w:tc>
        <w:tc>
          <w:tcPr>
            <w:tcW w:w="960" w:type="dxa"/>
            <w:tcBorders>
              <w:top w:val="nil"/>
              <w:left w:val="nil"/>
              <w:bottom w:val="single" w:sz="4" w:space="0" w:color="auto"/>
              <w:right w:val="single" w:sz="4" w:space="0" w:color="auto"/>
            </w:tcBorders>
            <w:shd w:val="clear" w:color="000000" w:fill="FFFFFF"/>
            <w:noWrap/>
            <w:vAlign w:val="center"/>
            <w:hideMark/>
          </w:tcPr>
          <w:p w14:paraId="6550A59A"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7,1</w:t>
            </w:r>
          </w:p>
        </w:tc>
      </w:tr>
      <w:tr w:rsidR="00663A0B" w:rsidRPr="008272B8" w14:paraId="04D05E54"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01C16612"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Силовой блок</w:t>
            </w:r>
          </w:p>
        </w:tc>
        <w:tc>
          <w:tcPr>
            <w:tcW w:w="960" w:type="dxa"/>
            <w:tcBorders>
              <w:top w:val="nil"/>
              <w:left w:val="nil"/>
              <w:bottom w:val="single" w:sz="4" w:space="0" w:color="auto"/>
              <w:right w:val="single" w:sz="4" w:space="0" w:color="auto"/>
            </w:tcBorders>
            <w:shd w:val="clear" w:color="000000" w:fill="FFFFFF"/>
            <w:noWrap/>
            <w:vAlign w:val="center"/>
            <w:hideMark/>
          </w:tcPr>
          <w:p w14:paraId="7375649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28,4</w:t>
            </w:r>
          </w:p>
        </w:tc>
        <w:tc>
          <w:tcPr>
            <w:tcW w:w="960" w:type="dxa"/>
            <w:tcBorders>
              <w:top w:val="nil"/>
              <w:left w:val="nil"/>
              <w:bottom w:val="single" w:sz="4" w:space="0" w:color="auto"/>
              <w:right w:val="single" w:sz="4" w:space="0" w:color="auto"/>
            </w:tcBorders>
            <w:shd w:val="clear" w:color="000000" w:fill="FFFFFF"/>
            <w:noWrap/>
            <w:vAlign w:val="center"/>
            <w:hideMark/>
          </w:tcPr>
          <w:p w14:paraId="79A069C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31,2</w:t>
            </w:r>
          </w:p>
        </w:tc>
        <w:tc>
          <w:tcPr>
            <w:tcW w:w="960" w:type="dxa"/>
            <w:tcBorders>
              <w:top w:val="nil"/>
              <w:left w:val="nil"/>
              <w:bottom w:val="single" w:sz="4" w:space="0" w:color="auto"/>
              <w:right w:val="single" w:sz="4" w:space="0" w:color="auto"/>
            </w:tcBorders>
            <w:shd w:val="clear" w:color="000000" w:fill="FFFFFF"/>
            <w:noWrap/>
            <w:vAlign w:val="center"/>
            <w:hideMark/>
          </w:tcPr>
          <w:p w14:paraId="1A06799E"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30,8</w:t>
            </w:r>
          </w:p>
        </w:tc>
        <w:tc>
          <w:tcPr>
            <w:tcW w:w="960" w:type="dxa"/>
            <w:tcBorders>
              <w:top w:val="nil"/>
              <w:left w:val="nil"/>
              <w:bottom w:val="single" w:sz="4" w:space="0" w:color="auto"/>
              <w:right w:val="single" w:sz="4" w:space="0" w:color="auto"/>
            </w:tcBorders>
            <w:shd w:val="clear" w:color="000000" w:fill="FFFFFF"/>
            <w:noWrap/>
            <w:vAlign w:val="center"/>
            <w:hideMark/>
          </w:tcPr>
          <w:p w14:paraId="05746E28"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33,0</w:t>
            </w:r>
          </w:p>
        </w:tc>
        <w:tc>
          <w:tcPr>
            <w:tcW w:w="960" w:type="dxa"/>
            <w:tcBorders>
              <w:top w:val="nil"/>
              <w:left w:val="nil"/>
              <w:bottom w:val="single" w:sz="4" w:space="0" w:color="auto"/>
              <w:right w:val="single" w:sz="4" w:space="0" w:color="auto"/>
            </w:tcBorders>
            <w:shd w:val="clear" w:color="000000" w:fill="FFFFFF"/>
            <w:noWrap/>
            <w:vAlign w:val="center"/>
            <w:hideMark/>
          </w:tcPr>
          <w:p w14:paraId="5EB29A2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32,1</w:t>
            </w:r>
          </w:p>
        </w:tc>
      </w:tr>
      <w:tr w:rsidR="00663A0B" w:rsidRPr="008272B8" w14:paraId="4C50AD7E" w14:textId="77777777" w:rsidTr="008272B8">
        <w:trPr>
          <w:trHeight w:val="624"/>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48BF6AAC" w14:textId="77777777" w:rsidR="00663A0B" w:rsidRPr="008272B8" w:rsidRDefault="00663A0B" w:rsidP="008272B8">
            <w:pPr>
              <w:spacing w:after="0"/>
              <w:ind w:firstLineChars="200" w:firstLine="44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в т. ч.: национальная оборона</w:t>
            </w:r>
          </w:p>
        </w:tc>
        <w:tc>
          <w:tcPr>
            <w:tcW w:w="960" w:type="dxa"/>
            <w:tcBorders>
              <w:top w:val="nil"/>
              <w:left w:val="nil"/>
              <w:bottom w:val="single" w:sz="4" w:space="0" w:color="auto"/>
              <w:right w:val="single" w:sz="4" w:space="0" w:color="auto"/>
            </w:tcBorders>
            <w:shd w:val="clear" w:color="000000" w:fill="FFFFFF"/>
            <w:noWrap/>
            <w:vAlign w:val="center"/>
            <w:hideMark/>
          </w:tcPr>
          <w:p w14:paraId="726C1E2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14,1</w:t>
            </w:r>
          </w:p>
        </w:tc>
        <w:tc>
          <w:tcPr>
            <w:tcW w:w="960" w:type="dxa"/>
            <w:tcBorders>
              <w:top w:val="nil"/>
              <w:left w:val="nil"/>
              <w:bottom w:val="single" w:sz="4" w:space="0" w:color="auto"/>
              <w:right w:val="single" w:sz="4" w:space="0" w:color="auto"/>
            </w:tcBorders>
            <w:shd w:val="clear" w:color="000000" w:fill="FFFFFF"/>
            <w:noWrap/>
            <w:vAlign w:val="center"/>
            <w:hideMark/>
          </w:tcPr>
          <w:p w14:paraId="38CCA311"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15,8</w:t>
            </w:r>
          </w:p>
        </w:tc>
        <w:tc>
          <w:tcPr>
            <w:tcW w:w="960" w:type="dxa"/>
            <w:tcBorders>
              <w:top w:val="nil"/>
              <w:left w:val="nil"/>
              <w:bottom w:val="single" w:sz="4" w:space="0" w:color="auto"/>
              <w:right w:val="single" w:sz="4" w:space="0" w:color="auto"/>
            </w:tcBorders>
            <w:shd w:val="clear" w:color="000000" w:fill="FFFFFF"/>
            <w:noWrap/>
            <w:vAlign w:val="center"/>
            <w:hideMark/>
          </w:tcPr>
          <w:p w14:paraId="1D989D51"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16,7</w:t>
            </w:r>
          </w:p>
        </w:tc>
        <w:tc>
          <w:tcPr>
            <w:tcW w:w="960" w:type="dxa"/>
            <w:tcBorders>
              <w:top w:val="nil"/>
              <w:left w:val="nil"/>
              <w:bottom w:val="single" w:sz="4" w:space="0" w:color="auto"/>
              <w:right w:val="single" w:sz="4" w:space="0" w:color="auto"/>
            </w:tcBorders>
            <w:shd w:val="clear" w:color="000000" w:fill="FFFFFF"/>
            <w:noWrap/>
            <w:vAlign w:val="center"/>
            <w:hideMark/>
          </w:tcPr>
          <w:p w14:paraId="02D7F39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w:t>
            </w:r>
          </w:p>
        </w:tc>
        <w:tc>
          <w:tcPr>
            <w:tcW w:w="960" w:type="dxa"/>
            <w:tcBorders>
              <w:top w:val="nil"/>
              <w:left w:val="nil"/>
              <w:bottom w:val="single" w:sz="4" w:space="0" w:color="auto"/>
              <w:right w:val="single" w:sz="4" w:space="0" w:color="auto"/>
            </w:tcBorders>
            <w:shd w:val="clear" w:color="000000" w:fill="FFFFFF"/>
            <w:noWrap/>
            <w:vAlign w:val="center"/>
            <w:hideMark/>
          </w:tcPr>
          <w:p w14:paraId="31A9709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19,5</w:t>
            </w:r>
          </w:p>
        </w:tc>
      </w:tr>
      <w:tr w:rsidR="00663A0B" w:rsidRPr="008272B8" w14:paraId="189CBAD0" w14:textId="77777777" w:rsidTr="008272B8">
        <w:trPr>
          <w:trHeight w:val="624"/>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4E1C8F71" w14:textId="77777777" w:rsidR="00663A0B" w:rsidRPr="008272B8" w:rsidRDefault="00663A0B" w:rsidP="008272B8">
            <w:pPr>
              <w:spacing w:after="0"/>
              <w:ind w:firstLineChars="200" w:firstLine="44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 xml:space="preserve">в т. ч.: национальная безопасность </w:t>
            </w:r>
          </w:p>
        </w:tc>
        <w:tc>
          <w:tcPr>
            <w:tcW w:w="960" w:type="dxa"/>
            <w:tcBorders>
              <w:top w:val="nil"/>
              <w:left w:val="nil"/>
              <w:bottom w:val="single" w:sz="4" w:space="0" w:color="auto"/>
              <w:right w:val="single" w:sz="4" w:space="0" w:color="auto"/>
            </w:tcBorders>
            <w:shd w:val="clear" w:color="000000" w:fill="FFFFFF"/>
            <w:noWrap/>
            <w:vAlign w:val="center"/>
            <w:hideMark/>
          </w:tcPr>
          <w:p w14:paraId="38B7C5A2"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14,3</w:t>
            </w:r>
          </w:p>
        </w:tc>
        <w:tc>
          <w:tcPr>
            <w:tcW w:w="960" w:type="dxa"/>
            <w:tcBorders>
              <w:top w:val="nil"/>
              <w:left w:val="nil"/>
              <w:bottom w:val="single" w:sz="4" w:space="0" w:color="auto"/>
              <w:right w:val="single" w:sz="4" w:space="0" w:color="auto"/>
            </w:tcBorders>
            <w:shd w:val="clear" w:color="000000" w:fill="FFFFFF"/>
            <w:noWrap/>
            <w:vAlign w:val="center"/>
            <w:hideMark/>
          </w:tcPr>
          <w:p w14:paraId="7D259AAF"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15,5</w:t>
            </w:r>
          </w:p>
        </w:tc>
        <w:tc>
          <w:tcPr>
            <w:tcW w:w="960" w:type="dxa"/>
            <w:tcBorders>
              <w:top w:val="nil"/>
              <w:left w:val="nil"/>
              <w:bottom w:val="single" w:sz="4" w:space="0" w:color="auto"/>
              <w:right w:val="single" w:sz="4" w:space="0" w:color="auto"/>
            </w:tcBorders>
            <w:shd w:val="clear" w:color="000000" w:fill="FFFFFF"/>
            <w:noWrap/>
            <w:vAlign w:val="center"/>
            <w:hideMark/>
          </w:tcPr>
          <w:p w14:paraId="26AC2CA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14,1</w:t>
            </w:r>
          </w:p>
        </w:tc>
        <w:tc>
          <w:tcPr>
            <w:tcW w:w="960" w:type="dxa"/>
            <w:tcBorders>
              <w:top w:val="nil"/>
              <w:left w:val="nil"/>
              <w:bottom w:val="single" w:sz="4" w:space="0" w:color="auto"/>
              <w:right w:val="single" w:sz="4" w:space="0" w:color="auto"/>
            </w:tcBorders>
            <w:shd w:val="clear" w:color="000000" w:fill="FFFFFF"/>
            <w:noWrap/>
            <w:vAlign w:val="center"/>
            <w:hideMark/>
          </w:tcPr>
          <w:p w14:paraId="363AC17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12,9</w:t>
            </w:r>
          </w:p>
        </w:tc>
        <w:tc>
          <w:tcPr>
            <w:tcW w:w="960" w:type="dxa"/>
            <w:tcBorders>
              <w:top w:val="nil"/>
              <w:left w:val="nil"/>
              <w:bottom w:val="single" w:sz="4" w:space="0" w:color="auto"/>
              <w:right w:val="single" w:sz="4" w:space="0" w:color="auto"/>
            </w:tcBorders>
            <w:shd w:val="clear" w:color="000000" w:fill="FFFFFF"/>
            <w:noWrap/>
            <w:vAlign w:val="center"/>
            <w:hideMark/>
          </w:tcPr>
          <w:p w14:paraId="071DADAF"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12,6</w:t>
            </w:r>
          </w:p>
        </w:tc>
      </w:tr>
      <w:tr w:rsidR="00663A0B" w:rsidRPr="008272B8" w14:paraId="603B1D01"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4FB785CB"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Национальная экономика</w:t>
            </w:r>
          </w:p>
        </w:tc>
        <w:tc>
          <w:tcPr>
            <w:tcW w:w="960" w:type="dxa"/>
            <w:tcBorders>
              <w:top w:val="nil"/>
              <w:left w:val="nil"/>
              <w:bottom w:val="single" w:sz="4" w:space="0" w:color="auto"/>
              <w:right w:val="single" w:sz="4" w:space="0" w:color="auto"/>
            </w:tcBorders>
            <w:shd w:val="clear" w:color="000000" w:fill="FFFFFF"/>
            <w:noWrap/>
            <w:vAlign w:val="center"/>
            <w:hideMark/>
          </w:tcPr>
          <w:p w14:paraId="4E949A7B"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15,3</w:t>
            </w:r>
          </w:p>
        </w:tc>
        <w:tc>
          <w:tcPr>
            <w:tcW w:w="960" w:type="dxa"/>
            <w:tcBorders>
              <w:top w:val="nil"/>
              <w:left w:val="nil"/>
              <w:bottom w:val="single" w:sz="4" w:space="0" w:color="auto"/>
              <w:right w:val="single" w:sz="4" w:space="0" w:color="auto"/>
            </w:tcBorders>
            <w:shd w:val="clear" w:color="000000" w:fill="FFFFFF"/>
            <w:noWrap/>
            <w:vAlign w:val="center"/>
            <w:hideMark/>
          </w:tcPr>
          <w:p w14:paraId="35F74371"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13,9</w:t>
            </w:r>
          </w:p>
        </w:tc>
        <w:tc>
          <w:tcPr>
            <w:tcW w:w="960" w:type="dxa"/>
            <w:tcBorders>
              <w:top w:val="nil"/>
              <w:left w:val="nil"/>
              <w:bottom w:val="single" w:sz="4" w:space="0" w:color="auto"/>
              <w:right w:val="single" w:sz="4" w:space="0" w:color="auto"/>
            </w:tcBorders>
            <w:shd w:val="clear" w:color="000000" w:fill="FFFFFF"/>
            <w:noWrap/>
            <w:vAlign w:val="center"/>
            <w:hideMark/>
          </w:tcPr>
          <w:p w14:paraId="69E308F6"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13,9</w:t>
            </w:r>
          </w:p>
        </w:tc>
        <w:tc>
          <w:tcPr>
            <w:tcW w:w="960" w:type="dxa"/>
            <w:tcBorders>
              <w:top w:val="nil"/>
              <w:left w:val="nil"/>
              <w:bottom w:val="single" w:sz="4" w:space="0" w:color="auto"/>
              <w:right w:val="single" w:sz="4" w:space="0" w:color="auto"/>
            </w:tcBorders>
            <w:shd w:val="clear" w:color="000000" w:fill="FFFFFF"/>
            <w:noWrap/>
            <w:vAlign w:val="center"/>
            <w:hideMark/>
          </w:tcPr>
          <w:p w14:paraId="45DBA71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14,7</w:t>
            </w:r>
          </w:p>
        </w:tc>
        <w:tc>
          <w:tcPr>
            <w:tcW w:w="960" w:type="dxa"/>
            <w:tcBorders>
              <w:top w:val="nil"/>
              <w:left w:val="nil"/>
              <w:bottom w:val="single" w:sz="4" w:space="0" w:color="auto"/>
              <w:right w:val="single" w:sz="4" w:space="0" w:color="auto"/>
            </w:tcBorders>
            <w:shd w:val="clear" w:color="000000" w:fill="FFFFFF"/>
            <w:noWrap/>
            <w:vAlign w:val="center"/>
            <w:hideMark/>
          </w:tcPr>
          <w:p w14:paraId="16A55859"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15,9</w:t>
            </w:r>
          </w:p>
        </w:tc>
      </w:tr>
      <w:tr w:rsidR="00663A0B" w:rsidRPr="008272B8" w14:paraId="72106778"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56D4A4ED"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ЖКХ</w:t>
            </w:r>
          </w:p>
        </w:tc>
        <w:tc>
          <w:tcPr>
            <w:tcW w:w="960" w:type="dxa"/>
            <w:tcBorders>
              <w:top w:val="nil"/>
              <w:left w:val="nil"/>
              <w:bottom w:val="single" w:sz="4" w:space="0" w:color="auto"/>
              <w:right w:val="single" w:sz="4" w:space="0" w:color="auto"/>
            </w:tcBorders>
            <w:shd w:val="clear" w:color="000000" w:fill="FFFFFF"/>
            <w:noWrap/>
            <w:vAlign w:val="center"/>
            <w:hideMark/>
          </w:tcPr>
          <w:p w14:paraId="36C7F1B6"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1,8</w:t>
            </w:r>
          </w:p>
        </w:tc>
        <w:tc>
          <w:tcPr>
            <w:tcW w:w="960" w:type="dxa"/>
            <w:tcBorders>
              <w:top w:val="nil"/>
              <w:left w:val="nil"/>
              <w:bottom w:val="single" w:sz="4" w:space="0" w:color="auto"/>
              <w:right w:val="single" w:sz="4" w:space="0" w:color="auto"/>
            </w:tcBorders>
            <w:shd w:val="clear" w:color="000000" w:fill="FFFFFF"/>
            <w:noWrap/>
            <w:vAlign w:val="center"/>
            <w:hideMark/>
          </w:tcPr>
          <w:p w14:paraId="2F90B64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1,3</w:t>
            </w:r>
          </w:p>
        </w:tc>
        <w:tc>
          <w:tcPr>
            <w:tcW w:w="960" w:type="dxa"/>
            <w:tcBorders>
              <w:top w:val="nil"/>
              <w:left w:val="nil"/>
              <w:bottom w:val="single" w:sz="4" w:space="0" w:color="auto"/>
              <w:right w:val="single" w:sz="4" w:space="0" w:color="auto"/>
            </w:tcBorders>
            <w:shd w:val="clear" w:color="000000" w:fill="FFFFFF"/>
            <w:noWrap/>
            <w:vAlign w:val="center"/>
            <w:hideMark/>
          </w:tcPr>
          <w:p w14:paraId="5DAC74A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0,8</w:t>
            </w:r>
          </w:p>
        </w:tc>
        <w:tc>
          <w:tcPr>
            <w:tcW w:w="960" w:type="dxa"/>
            <w:tcBorders>
              <w:top w:val="nil"/>
              <w:left w:val="nil"/>
              <w:bottom w:val="single" w:sz="4" w:space="0" w:color="auto"/>
              <w:right w:val="single" w:sz="4" w:space="0" w:color="auto"/>
            </w:tcBorders>
            <w:shd w:val="clear" w:color="000000" w:fill="FFFFFF"/>
            <w:noWrap/>
            <w:vAlign w:val="center"/>
            <w:hideMark/>
          </w:tcPr>
          <w:p w14:paraId="3C0384AE"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0,8</w:t>
            </w:r>
          </w:p>
        </w:tc>
        <w:tc>
          <w:tcPr>
            <w:tcW w:w="960" w:type="dxa"/>
            <w:tcBorders>
              <w:top w:val="nil"/>
              <w:left w:val="nil"/>
              <w:bottom w:val="single" w:sz="4" w:space="0" w:color="auto"/>
              <w:right w:val="single" w:sz="4" w:space="0" w:color="auto"/>
            </w:tcBorders>
            <w:shd w:val="clear" w:color="000000" w:fill="FFFFFF"/>
            <w:noWrap/>
            <w:vAlign w:val="center"/>
            <w:hideMark/>
          </w:tcPr>
          <w:p w14:paraId="6E05DD87"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r>
      <w:tr w:rsidR="00663A0B" w:rsidRPr="008272B8" w14:paraId="3735CF67" w14:textId="77777777" w:rsidTr="008272B8">
        <w:trPr>
          <w:trHeight w:val="624"/>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7A5E684B"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Охрана окружающей среды</w:t>
            </w:r>
          </w:p>
        </w:tc>
        <w:tc>
          <w:tcPr>
            <w:tcW w:w="960" w:type="dxa"/>
            <w:tcBorders>
              <w:top w:val="nil"/>
              <w:left w:val="nil"/>
              <w:bottom w:val="single" w:sz="4" w:space="0" w:color="auto"/>
              <w:right w:val="single" w:sz="4" w:space="0" w:color="auto"/>
            </w:tcBorders>
            <w:shd w:val="clear" w:color="000000" w:fill="FFFFFF"/>
            <w:noWrap/>
            <w:vAlign w:val="center"/>
            <w:hideMark/>
          </w:tcPr>
          <w:p w14:paraId="12D3EF46"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0,2</w:t>
            </w:r>
          </w:p>
        </w:tc>
        <w:tc>
          <w:tcPr>
            <w:tcW w:w="960" w:type="dxa"/>
            <w:tcBorders>
              <w:top w:val="nil"/>
              <w:left w:val="nil"/>
              <w:bottom w:val="single" w:sz="4" w:space="0" w:color="auto"/>
              <w:right w:val="single" w:sz="4" w:space="0" w:color="auto"/>
            </w:tcBorders>
            <w:shd w:val="clear" w:color="000000" w:fill="FFFFFF"/>
            <w:noWrap/>
            <w:vAlign w:val="center"/>
            <w:hideMark/>
          </w:tcPr>
          <w:p w14:paraId="678F04C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0,2</w:t>
            </w:r>
          </w:p>
        </w:tc>
        <w:tc>
          <w:tcPr>
            <w:tcW w:w="960" w:type="dxa"/>
            <w:tcBorders>
              <w:top w:val="nil"/>
              <w:left w:val="nil"/>
              <w:bottom w:val="single" w:sz="4" w:space="0" w:color="auto"/>
              <w:right w:val="single" w:sz="4" w:space="0" w:color="auto"/>
            </w:tcBorders>
            <w:shd w:val="clear" w:color="000000" w:fill="FFFFFF"/>
            <w:noWrap/>
            <w:vAlign w:val="center"/>
            <w:hideMark/>
          </w:tcPr>
          <w:p w14:paraId="74B82B66"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0,3</w:t>
            </w:r>
          </w:p>
        </w:tc>
        <w:tc>
          <w:tcPr>
            <w:tcW w:w="960" w:type="dxa"/>
            <w:tcBorders>
              <w:top w:val="nil"/>
              <w:left w:val="nil"/>
              <w:bottom w:val="single" w:sz="4" w:space="0" w:color="auto"/>
              <w:right w:val="single" w:sz="4" w:space="0" w:color="auto"/>
            </w:tcBorders>
            <w:shd w:val="clear" w:color="000000" w:fill="FFFFFF"/>
            <w:noWrap/>
            <w:vAlign w:val="center"/>
            <w:hideMark/>
          </w:tcPr>
          <w:p w14:paraId="5865DCB8"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0,3</w:t>
            </w:r>
          </w:p>
        </w:tc>
        <w:tc>
          <w:tcPr>
            <w:tcW w:w="960" w:type="dxa"/>
            <w:tcBorders>
              <w:top w:val="nil"/>
              <w:left w:val="nil"/>
              <w:bottom w:val="single" w:sz="4" w:space="0" w:color="auto"/>
              <w:right w:val="single" w:sz="4" w:space="0" w:color="auto"/>
            </w:tcBorders>
            <w:shd w:val="clear" w:color="000000" w:fill="FFFFFF"/>
            <w:noWrap/>
            <w:vAlign w:val="center"/>
            <w:hideMark/>
          </w:tcPr>
          <w:p w14:paraId="56D151A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0,4</w:t>
            </w:r>
          </w:p>
        </w:tc>
      </w:tr>
      <w:tr w:rsidR="00663A0B" w:rsidRPr="008272B8" w14:paraId="3E41D17D"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6627F8E"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Образование</w:t>
            </w:r>
          </w:p>
        </w:tc>
        <w:tc>
          <w:tcPr>
            <w:tcW w:w="960" w:type="dxa"/>
            <w:tcBorders>
              <w:top w:val="nil"/>
              <w:left w:val="nil"/>
              <w:bottom w:val="single" w:sz="4" w:space="0" w:color="auto"/>
              <w:right w:val="single" w:sz="4" w:space="0" w:color="auto"/>
            </w:tcBorders>
            <w:shd w:val="clear" w:color="000000" w:fill="FFFFFF"/>
            <w:noWrap/>
            <w:vAlign w:val="center"/>
            <w:hideMark/>
          </w:tcPr>
          <w:p w14:paraId="2BC43BF6"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4,7</w:t>
            </w:r>
          </w:p>
        </w:tc>
        <w:tc>
          <w:tcPr>
            <w:tcW w:w="960" w:type="dxa"/>
            <w:tcBorders>
              <w:top w:val="nil"/>
              <w:left w:val="nil"/>
              <w:bottom w:val="single" w:sz="4" w:space="0" w:color="auto"/>
              <w:right w:val="single" w:sz="4" w:space="0" w:color="auto"/>
            </w:tcBorders>
            <w:shd w:val="clear" w:color="000000" w:fill="FFFFFF"/>
            <w:noWrap/>
            <w:vAlign w:val="center"/>
            <w:hideMark/>
          </w:tcPr>
          <w:p w14:paraId="223D09E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1AB101D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4,3</w:t>
            </w:r>
          </w:p>
        </w:tc>
        <w:tc>
          <w:tcPr>
            <w:tcW w:w="960" w:type="dxa"/>
            <w:tcBorders>
              <w:top w:val="nil"/>
              <w:left w:val="nil"/>
              <w:bottom w:val="single" w:sz="4" w:space="0" w:color="auto"/>
              <w:right w:val="single" w:sz="4" w:space="0" w:color="auto"/>
            </w:tcBorders>
            <w:shd w:val="clear" w:color="000000" w:fill="FFFFFF"/>
            <w:noWrap/>
            <w:vAlign w:val="center"/>
            <w:hideMark/>
          </w:tcPr>
          <w:p w14:paraId="139F52D2"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4,1</w:t>
            </w:r>
          </w:p>
        </w:tc>
        <w:tc>
          <w:tcPr>
            <w:tcW w:w="960" w:type="dxa"/>
            <w:tcBorders>
              <w:top w:val="nil"/>
              <w:left w:val="nil"/>
              <w:bottom w:val="single" w:sz="4" w:space="0" w:color="auto"/>
              <w:right w:val="single" w:sz="4" w:space="0" w:color="auto"/>
            </w:tcBorders>
            <w:shd w:val="clear" w:color="000000" w:fill="FFFFFF"/>
            <w:noWrap/>
            <w:vAlign w:val="center"/>
            <w:hideMark/>
          </w:tcPr>
          <w:p w14:paraId="6238F5F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3,6</w:t>
            </w:r>
          </w:p>
        </w:tc>
      </w:tr>
      <w:tr w:rsidR="00663A0B" w:rsidRPr="008272B8" w14:paraId="40163D74"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7E0E756F"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Культура</w:t>
            </w:r>
          </w:p>
        </w:tc>
        <w:tc>
          <w:tcPr>
            <w:tcW w:w="960" w:type="dxa"/>
            <w:tcBorders>
              <w:top w:val="nil"/>
              <w:left w:val="nil"/>
              <w:bottom w:val="single" w:sz="4" w:space="0" w:color="auto"/>
              <w:right w:val="single" w:sz="4" w:space="0" w:color="auto"/>
            </w:tcBorders>
            <w:shd w:val="clear" w:color="000000" w:fill="FFFFFF"/>
            <w:noWrap/>
            <w:vAlign w:val="center"/>
            <w:hideMark/>
          </w:tcPr>
          <w:p w14:paraId="0BBC190A"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0,7</w:t>
            </w:r>
          </w:p>
        </w:tc>
        <w:tc>
          <w:tcPr>
            <w:tcW w:w="960" w:type="dxa"/>
            <w:tcBorders>
              <w:top w:val="nil"/>
              <w:left w:val="nil"/>
              <w:bottom w:val="single" w:sz="4" w:space="0" w:color="auto"/>
              <w:right w:val="single" w:sz="4" w:space="0" w:color="auto"/>
            </w:tcBorders>
            <w:shd w:val="clear" w:color="000000" w:fill="FFFFFF"/>
            <w:noWrap/>
            <w:vAlign w:val="center"/>
            <w:hideMark/>
          </w:tcPr>
          <w:p w14:paraId="4A1955E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0,7</w:t>
            </w:r>
          </w:p>
        </w:tc>
        <w:tc>
          <w:tcPr>
            <w:tcW w:w="960" w:type="dxa"/>
            <w:tcBorders>
              <w:top w:val="nil"/>
              <w:left w:val="nil"/>
              <w:bottom w:val="single" w:sz="4" w:space="0" w:color="auto"/>
              <w:right w:val="single" w:sz="4" w:space="0" w:color="auto"/>
            </w:tcBorders>
            <w:shd w:val="clear" w:color="000000" w:fill="FFFFFF"/>
            <w:noWrap/>
            <w:vAlign w:val="center"/>
            <w:hideMark/>
          </w:tcPr>
          <w:p w14:paraId="4901140C"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0,7</w:t>
            </w:r>
          </w:p>
        </w:tc>
        <w:tc>
          <w:tcPr>
            <w:tcW w:w="960" w:type="dxa"/>
            <w:tcBorders>
              <w:top w:val="nil"/>
              <w:left w:val="nil"/>
              <w:bottom w:val="single" w:sz="4" w:space="0" w:color="auto"/>
              <w:right w:val="single" w:sz="4" w:space="0" w:color="auto"/>
            </w:tcBorders>
            <w:shd w:val="clear" w:color="000000" w:fill="FFFFFF"/>
            <w:noWrap/>
            <w:vAlign w:val="center"/>
            <w:hideMark/>
          </w:tcPr>
          <w:p w14:paraId="496AF2BD"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0,6</w:t>
            </w:r>
          </w:p>
        </w:tc>
        <w:tc>
          <w:tcPr>
            <w:tcW w:w="960" w:type="dxa"/>
            <w:tcBorders>
              <w:top w:val="nil"/>
              <w:left w:val="nil"/>
              <w:bottom w:val="single" w:sz="4" w:space="0" w:color="auto"/>
              <w:right w:val="single" w:sz="4" w:space="0" w:color="auto"/>
            </w:tcBorders>
            <w:shd w:val="clear" w:color="000000" w:fill="FFFFFF"/>
            <w:noWrap/>
            <w:vAlign w:val="center"/>
            <w:hideMark/>
          </w:tcPr>
          <w:p w14:paraId="26EF297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0,6</w:t>
            </w:r>
          </w:p>
        </w:tc>
      </w:tr>
      <w:tr w:rsidR="00663A0B" w:rsidRPr="008272B8" w14:paraId="0BB305C7"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30405DB6"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Здравоохранение</w:t>
            </w:r>
          </w:p>
        </w:tc>
        <w:tc>
          <w:tcPr>
            <w:tcW w:w="960" w:type="dxa"/>
            <w:tcBorders>
              <w:top w:val="nil"/>
              <w:left w:val="nil"/>
              <w:bottom w:val="single" w:sz="4" w:space="0" w:color="auto"/>
              <w:right w:val="single" w:sz="4" w:space="0" w:color="auto"/>
            </w:tcBorders>
            <w:shd w:val="clear" w:color="000000" w:fill="FFFFFF"/>
            <w:noWrap/>
            <w:vAlign w:val="center"/>
            <w:hideMark/>
          </w:tcPr>
          <w:p w14:paraId="3057EF67"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4,8</w:t>
            </w:r>
          </w:p>
        </w:tc>
        <w:tc>
          <w:tcPr>
            <w:tcW w:w="960" w:type="dxa"/>
            <w:tcBorders>
              <w:top w:val="nil"/>
              <w:left w:val="nil"/>
              <w:bottom w:val="single" w:sz="4" w:space="0" w:color="auto"/>
              <w:right w:val="single" w:sz="4" w:space="0" w:color="auto"/>
            </w:tcBorders>
            <w:shd w:val="clear" w:color="000000" w:fill="FFFFFF"/>
            <w:noWrap/>
            <w:vAlign w:val="center"/>
            <w:hideMark/>
          </w:tcPr>
          <w:p w14:paraId="3888058E"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3,8</w:t>
            </w:r>
          </w:p>
        </w:tc>
        <w:tc>
          <w:tcPr>
            <w:tcW w:w="960" w:type="dxa"/>
            <w:tcBorders>
              <w:top w:val="nil"/>
              <w:left w:val="nil"/>
              <w:bottom w:val="single" w:sz="4" w:space="0" w:color="auto"/>
              <w:right w:val="single" w:sz="4" w:space="0" w:color="auto"/>
            </w:tcBorders>
            <w:shd w:val="clear" w:color="000000" w:fill="FFFFFF"/>
            <w:noWrap/>
            <w:vAlign w:val="center"/>
            <w:hideMark/>
          </w:tcPr>
          <w:p w14:paraId="5549E8D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3,6</w:t>
            </w:r>
          </w:p>
        </w:tc>
        <w:tc>
          <w:tcPr>
            <w:tcW w:w="960" w:type="dxa"/>
            <w:tcBorders>
              <w:top w:val="nil"/>
              <w:left w:val="nil"/>
              <w:bottom w:val="single" w:sz="4" w:space="0" w:color="auto"/>
              <w:right w:val="single" w:sz="4" w:space="0" w:color="auto"/>
            </w:tcBorders>
            <w:shd w:val="clear" w:color="000000" w:fill="FFFFFF"/>
            <w:noWrap/>
            <w:vAlign w:val="center"/>
            <w:hideMark/>
          </w:tcPr>
          <w:p w14:paraId="0F7621D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3,4</w:t>
            </w:r>
          </w:p>
        </w:tc>
        <w:tc>
          <w:tcPr>
            <w:tcW w:w="960" w:type="dxa"/>
            <w:tcBorders>
              <w:top w:val="nil"/>
              <w:left w:val="nil"/>
              <w:bottom w:val="single" w:sz="4" w:space="0" w:color="auto"/>
              <w:right w:val="single" w:sz="4" w:space="0" w:color="auto"/>
            </w:tcBorders>
            <w:shd w:val="clear" w:color="000000" w:fill="FFFFFF"/>
            <w:noWrap/>
            <w:vAlign w:val="center"/>
            <w:hideMark/>
          </w:tcPr>
          <w:p w14:paraId="41FC6B7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3,0</w:t>
            </w:r>
          </w:p>
        </w:tc>
      </w:tr>
      <w:tr w:rsidR="00663A0B" w:rsidRPr="008272B8" w14:paraId="58625E7F"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6DF16574"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Социальная политика</w:t>
            </w:r>
          </w:p>
        </w:tc>
        <w:tc>
          <w:tcPr>
            <w:tcW w:w="960" w:type="dxa"/>
            <w:tcBorders>
              <w:top w:val="nil"/>
              <w:left w:val="nil"/>
              <w:bottom w:val="single" w:sz="4" w:space="0" w:color="auto"/>
              <w:right w:val="single" w:sz="4" w:space="0" w:color="auto"/>
            </w:tcBorders>
            <w:shd w:val="clear" w:color="000000" w:fill="FFFFFF"/>
            <w:noWrap/>
            <w:vAlign w:val="center"/>
            <w:hideMark/>
          </w:tcPr>
          <w:p w14:paraId="60CDFBE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29,9</w:t>
            </w:r>
          </w:p>
        </w:tc>
        <w:tc>
          <w:tcPr>
            <w:tcW w:w="960" w:type="dxa"/>
            <w:tcBorders>
              <w:top w:val="nil"/>
              <w:left w:val="nil"/>
              <w:bottom w:val="single" w:sz="4" w:space="0" w:color="auto"/>
              <w:right w:val="single" w:sz="4" w:space="0" w:color="auto"/>
            </w:tcBorders>
            <w:shd w:val="clear" w:color="000000" w:fill="FFFFFF"/>
            <w:noWrap/>
            <w:vAlign w:val="center"/>
            <w:hideMark/>
          </w:tcPr>
          <w:p w14:paraId="5945314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28,7</w:t>
            </w:r>
          </w:p>
        </w:tc>
        <w:tc>
          <w:tcPr>
            <w:tcW w:w="960" w:type="dxa"/>
            <w:tcBorders>
              <w:top w:val="nil"/>
              <w:left w:val="nil"/>
              <w:bottom w:val="single" w:sz="4" w:space="0" w:color="auto"/>
              <w:right w:val="single" w:sz="4" w:space="0" w:color="auto"/>
            </w:tcBorders>
            <w:shd w:val="clear" w:color="000000" w:fill="FFFFFF"/>
            <w:noWrap/>
            <w:vAlign w:val="center"/>
            <w:hideMark/>
          </w:tcPr>
          <w:p w14:paraId="4E7FFCEE"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23,3</w:t>
            </w:r>
          </w:p>
        </w:tc>
        <w:tc>
          <w:tcPr>
            <w:tcW w:w="960" w:type="dxa"/>
            <w:tcBorders>
              <w:top w:val="nil"/>
              <w:left w:val="nil"/>
              <w:bottom w:val="single" w:sz="4" w:space="0" w:color="auto"/>
              <w:right w:val="single" w:sz="4" w:space="0" w:color="auto"/>
            </w:tcBorders>
            <w:shd w:val="clear" w:color="000000" w:fill="FFFFFF"/>
            <w:noWrap/>
            <w:vAlign w:val="center"/>
            <w:hideMark/>
          </w:tcPr>
          <w:p w14:paraId="1F1720A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27,0</w:t>
            </w:r>
          </w:p>
        </w:tc>
        <w:tc>
          <w:tcPr>
            <w:tcW w:w="960" w:type="dxa"/>
            <w:tcBorders>
              <w:top w:val="nil"/>
              <w:left w:val="nil"/>
              <w:bottom w:val="single" w:sz="4" w:space="0" w:color="auto"/>
              <w:right w:val="single" w:sz="4" w:space="0" w:color="auto"/>
            </w:tcBorders>
            <w:shd w:val="clear" w:color="000000" w:fill="FFFFFF"/>
            <w:noWrap/>
            <w:vAlign w:val="center"/>
            <w:hideMark/>
          </w:tcPr>
          <w:p w14:paraId="554BCF7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27,7</w:t>
            </w:r>
          </w:p>
        </w:tc>
      </w:tr>
      <w:tr w:rsidR="00663A0B" w:rsidRPr="008272B8" w14:paraId="294A21FD" w14:textId="77777777" w:rsidTr="008272B8">
        <w:trPr>
          <w:trHeight w:val="330"/>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50D0014E" w14:textId="77777777" w:rsidR="00663A0B" w:rsidRPr="008272B8" w:rsidRDefault="00663A0B" w:rsidP="008272B8">
            <w:pPr>
              <w:spacing w:after="0"/>
              <w:ind w:firstLineChars="200" w:firstLine="44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в т. ч.: пенсионное обеспечение</w:t>
            </w:r>
          </w:p>
        </w:tc>
        <w:tc>
          <w:tcPr>
            <w:tcW w:w="960" w:type="dxa"/>
            <w:tcBorders>
              <w:top w:val="nil"/>
              <w:left w:val="nil"/>
              <w:bottom w:val="single" w:sz="4" w:space="0" w:color="auto"/>
              <w:right w:val="single" w:sz="4" w:space="0" w:color="auto"/>
            </w:tcBorders>
            <w:shd w:val="clear" w:color="000000" w:fill="FFFFFF"/>
            <w:noWrap/>
            <w:vAlign w:val="center"/>
            <w:hideMark/>
          </w:tcPr>
          <w:p w14:paraId="56CEFF0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21,1</w:t>
            </w:r>
          </w:p>
        </w:tc>
        <w:tc>
          <w:tcPr>
            <w:tcW w:w="960" w:type="dxa"/>
            <w:tcBorders>
              <w:top w:val="nil"/>
              <w:left w:val="nil"/>
              <w:bottom w:val="single" w:sz="4" w:space="0" w:color="auto"/>
              <w:right w:val="single" w:sz="4" w:space="0" w:color="auto"/>
            </w:tcBorders>
            <w:shd w:val="clear" w:color="000000" w:fill="FFFFFF"/>
            <w:noWrap/>
            <w:vAlign w:val="center"/>
            <w:hideMark/>
          </w:tcPr>
          <w:p w14:paraId="5E1991E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20,5</w:t>
            </w:r>
          </w:p>
        </w:tc>
        <w:tc>
          <w:tcPr>
            <w:tcW w:w="960" w:type="dxa"/>
            <w:tcBorders>
              <w:top w:val="nil"/>
              <w:left w:val="nil"/>
              <w:bottom w:val="single" w:sz="4" w:space="0" w:color="auto"/>
              <w:right w:val="single" w:sz="4" w:space="0" w:color="auto"/>
            </w:tcBorders>
            <w:shd w:val="clear" w:color="000000" w:fill="FFFFFF"/>
            <w:noWrap/>
            <w:vAlign w:val="center"/>
            <w:hideMark/>
          </w:tcPr>
          <w:p w14:paraId="15FED171"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15,2</w:t>
            </w:r>
          </w:p>
        </w:tc>
        <w:tc>
          <w:tcPr>
            <w:tcW w:w="960" w:type="dxa"/>
            <w:tcBorders>
              <w:top w:val="nil"/>
              <w:left w:val="nil"/>
              <w:bottom w:val="single" w:sz="4" w:space="0" w:color="auto"/>
              <w:right w:val="single" w:sz="4" w:space="0" w:color="auto"/>
            </w:tcBorders>
            <w:shd w:val="clear" w:color="000000" w:fill="FFFFFF"/>
            <w:noWrap/>
            <w:vAlign w:val="center"/>
            <w:hideMark/>
          </w:tcPr>
          <w:p w14:paraId="6BB587F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18,4</w:t>
            </w:r>
          </w:p>
        </w:tc>
        <w:tc>
          <w:tcPr>
            <w:tcW w:w="960" w:type="dxa"/>
            <w:tcBorders>
              <w:top w:val="nil"/>
              <w:left w:val="nil"/>
              <w:bottom w:val="single" w:sz="4" w:space="0" w:color="auto"/>
              <w:right w:val="single" w:sz="4" w:space="0" w:color="auto"/>
            </w:tcBorders>
            <w:shd w:val="clear" w:color="000000" w:fill="FFFFFF"/>
            <w:noWrap/>
            <w:vAlign w:val="center"/>
            <w:hideMark/>
          </w:tcPr>
          <w:p w14:paraId="2E2DACC7"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19,1</w:t>
            </w:r>
          </w:p>
        </w:tc>
      </w:tr>
      <w:tr w:rsidR="00663A0B" w:rsidRPr="008272B8" w14:paraId="17629281"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1C06BCA1"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Физкультура и спорт</w:t>
            </w:r>
          </w:p>
        </w:tc>
        <w:tc>
          <w:tcPr>
            <w:tcW w:w="960" w:type="dxa"/>
            <w:tcBorders>
              <w:top w:val="nil"/>
              <w:left w:val="nil"/>
              <w:bottom w:val="single" w:sz="4" w:space="0" w:color="auto"/>
              <w:right w:val="single" w:sz="4" w:space="0" w:color="auto"/>
            </w:tcBorders>
            <w:shd w:val="clear" w:color="000000" w:fill="FFFFFF"/>
            <w:noWrap/>
            <w:vAlign w:val="center"/>
            <w:hideMark/>
          </w:tcPr>
          <w:p w14:paraId="497F3E89"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0,4</w:t>
            </w:r>
          </w:p>
        </w:tc>
        <w:tc>
          <w:tcPr>
            <w:tcW w:w="960" w:type="dxa"/>
            <w:tcBorders>
              <w:top w:val="nil"/>
              <w:left w:val="nil"/>
              <w:bottom w:val="single" w:sz="4" w:space="0" w:color="auto"/>
              <w:right w:val="single" w:sz="4" w:space="0" w:color="auto"/>
            </w:tcBorders>
            <w:shd w:val="clear" w:color="000000" w:fill="FFFFFF"/>
            <w:noWrap/>
            <w:vAlign w:val="center"/>
            <w:hideMark/>
          </w:tcPr>
          <w:p w14:paraId="318EE3A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c>
          <w:tcPr>
            <w:tcW w:w="960" w:type="dxa"/>
            <w:tcBorders>
              <w:top w:val="nil"/>
              <w:left w:val="nil"/>
              <w:bottom w:val="single" w:sz="4" w:space="0" w:color="auto"/>
              <w:right w:val="single" w:sz="4" w:space="0" w:color="auto"/>
            </w:tcBorders>
            <w:shd w:val="clear" w:color="000000" w:fill="FFFFFF"/>
            <w:noWrap/>
            <w:vAlign w:val="center"/>
            <w:hideMark/>
          </w:tcPr>
          <w:p w14:paraId="51BFC432"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c>
          <w:tcPr>
            <w:tcW w:w="960" w:type="dxa"/>
            <w:tcBorders>
              <w:top w:val="nil"/>
              <w:left w:val="nil"/>
              <w:bottom w:val="single" w:sz="4" w:space="0" w:color="auto"/>
              <w:right w:val="single" w:sz="4" w:space="0" w:color="auto"/>
            </w:tcBorders>
            <w:shd w:val="clear" w:color="000000" w:fill="FFFFFF"/>
            <w:noWrap/>
            <w:vAlign w:val="center"/>
            <w:hideMark/>
          </w:tcPr>
          <w:p w14:paraId="44D6A627"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c>
          <w:tcPr>
            <w:tcW w:w="960" w:type="dxa"/>
            <w:tcBorders>
              <w:top w:val="nil"/>
              <w:left w:val="nil"/>
              <w:bottom w:val="single" w:sz="4" w:space="0" w:color="auto"/>
              <w:right w:val="single" w:sz="4" w:space="0" w:color="auto"/>
            </w:tcBorders>
            <w:shd w:val="clear" w:color="000000" w:fill="FFFFFF"/>
            <w:noWrap/>
            <w:vAlign w:val="center"/>
            <w:hideMark/>
          </w:tcPr>
          <w:p w14:paraId="79B106E6"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0,4</w:t>
            </w:r>
          </w:p>
        </w:tc>
      </w:tr>
      <w:tr w:rsidR="00663A0B" w:rsidRPr="008272B8" w14:paraId="449B8B64"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3B9B1689"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СМИ</w:t>
            </w:r>
          </w:p>
        </w:tc>
        <w:tc>
          <w:tcPr>
            <w:tcW w:w="960" w:type="dxa"/>
            <w:tcBorders>
              <w:top w:val="nil"/>
              <w:left w:val="nil"/>
              <w:bottom w:val="single" w:sz="4" w:space="0" w:color="auto"/>
              <w:right w:val="single" w:sz="4" w:space="0" w:color="auto"/>
            </w:tcBorders>
            <w:shd w:val="clear" w:color="000000" w:fill="FFFFFF"/>
            <w:noWrap/>
            <w:vAlign w:val="center"/>
            <w:hideMark/>
          </w:tcPr>
          <w:p w14:paraId="47BC5E09"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0,6</w:t>
            </w:r>
          </w:p>
        </w:tc>
        <w:tc>
          <w:tcPr>
            <w:tcW w:w="960" w:type="dxa"/>
            <w:tcBorders>
              <w:top w:val="nil"/>
              <w:left w:val="nil"/>
              <w:bottom w:val="single" w:sz="4" w:space="0" w:color="auto"/>
              <w:right w:val="single" w:sz="4" w:space="0" w:color="auto"/>
            </w:tcBorders>
            <w:shd w:val="clear" w:color="000000" w:fill="FFFFFF"/>
            <w:noWrap/>
            <w:vAlign w:val="center"/>
            <w:hideMark/>
          </w:tcPr>
          <w:p w14:paraId="2070581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0,6</w:t>
            </w:r>
          </w:p>
        </w:tc>
        <w:tc>
          <w:tcPr>
            <w:tcW w:w="960" w:type="dxa"/>
            <w:tcBorders>
              <w:top w:val="nil"/>
              <w:left w:val="nil"/>
              <w:bottom w:val="single" w:sz="4" w:space="0" w:color="auto"/>
              <w:right w:val="single" w:sz="4" w:space="0" w:color="auto"/>
            </w:tcBorders>
            <w:shd w:val="clear" w:color="000000" w:fill="FFFFFF"/>
            <w:noWrap/>
            <w:vAlign w:val="center"/>
            <w:hideMark/>
          </w:tcPr>
          <w:p w14:paraId="10EF1AA8"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c>
          <w:tcPr>
            <w:tcW w:w="960" w:type="dxa"/>
            <w:tcBorders>
              <w:top w:val="nil"/>
              <w:left w:val="nil"/>
              <w:bottom w:val="single" w:sz="4" w:space="0" w:color="auto"/>
              <w:right w:val="single" w:sz="4" w:space="0" w:color="auto"/>
            </w:tcBorders>
            <w:shd w:val="clear" w:color="000000" w:fill="FFFFFF"/>
            <w:noWrap/>
            <w:vAlign w:val="center"/>
            <w:hideMark/>
          </w:tcPr>
          <w:p w14:paraId="3FDE656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c>
          <w:tcPr>
            <w:tcW w:w="960" w:type="dxa"/>
            <w:tcBorders>
              <w:top w:val="nil"/>
              <w:left w:val="nil"/>
              <w:bottom w:val="single" w:sz="4" w:space="0" w:color="auto"/>
              <w:right w:val="single" w:sz="4" w:space="0" w:color="auto"/>
            </w:tcBorders>
            <w:shd w:val="clear" w:color="000000" w:fill="FFFFFF"/>
            <w:noWrap/>
            <w:vAlign w:val="center"/>
            <w:hideMark/>
          </w:tcPr>
          <w:p w14:paraId="51E4764F"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0,5</w:t>
            </w:r>
          </w:p>
        </w:tc>
      </w:tr>
      <w:tr w:rsidR="00663A0B" w:rsidRPr="008272B8" w14:paraId="10B5B65D" w14:textId="77777777" w:rsidTr="008272B8">
        <w:trPr>
          <w:trHeight w:val="312"/>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1E3F5B3D"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Обслуживание долга</w:t>
            </w:r>
          </w:p>
        </w:tc>
        <w:tc>
          <w:tcPr>
            <w:tcW w:w="960" w:type="dxa"/>
            <w:tcBorders>
              <w:top w:val="nil"/>
              <w:left w:val="nil"/>
              <w:bottom w:val="single" w:sz="4" w:space="0" w:color="auto"/>
              <w:right w:val="single" w:sz="4" w:space="0" w:color="auto"/>
            </w:tcBorders>
            <w:shd w:val="clear" w:color="000000" w:fill="FFFFFF"/>
            <w:noWrap/>
            <w:vAlign w:val="center"/>
            <w:hideMark/>
          </w:tcPr>
          <w:p w14:paraId="7F9BF9D0"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2,5</w:t>
            </w:r>
          </w:p>
        </w:tc>
        <w:tc>
          <w:tcPr>
            <w:tcW w:w="960" w:type="dxa"/>
            <w:tcBorders>
              <w:top w:val="nil"/>
              <w:left w:val="nil"/>
              <w:bottom w:val="single" w:sz="4" w:space="0" w:color="auto"/>
              <w:right w:val="single" w:sz="4" w:space="0" w:color="auto"/>
            </w:tcBorders>
            <w:shd w:val="clear" w:color="000000" w:fill="FFFFFF"/>
            <w:noWrap/>
            <w:vAlign w:val="center"/>
            <w:hideMark/>
          </w:tcPr>
          <w:p w14:paraId="1DCBABC8"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2,7</w:t>
            </w:r>
          </w:p>
        </w:tc>
        <w:tc>
          <w:tcPr>
            <w:tcW w:w="960" w:type="dxa"/>
            <w:tcBorders>
              <w:top w:val="nil"/>
              <w:left w:val="nil"/>
              <w:bottom w:val="single" w:sz="4" w:space="0" w:color="auto"/>
              <w:right w:val="single" w:sz="4" w:space="0" w:color="auto"/>
            </w:tcBorders>
            <w:shd w:val="clear" w:color="000000" w:fill="FFFFFF"/>
            <w:noWrap/>
            <w:vAlign w:val="center"/>
            <w:hideMark/>
          </w:tcPr>
          <w:p w14:paraId="2989DE04"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2,8</w:t>
            </w:r>
          </w:p>
        </w:tc>
        <w:tc>
          <w:tcPr>
            <w:tcW w:w="960" w:type="dxa"/>
            <w:tcBorders>
              <w:top w:val="nil"/>
              <w:left w:val="nil"/>
              <w:bottom w:val="single" w:sz="4" w:space="0" w:color="auto"/>
              <w:right w:val="single" w:sz="4" w:space="0" w:color="auto"/>
            </w:tcBorders>
            <w:shd w:val="clear" w:color="000000" w:fill="FFFFFF"/>
            <w:noWrap/>
            <w:vAlign w:val="center"/>
            <w:hideMark/>
          </w:tcPr>
          <w:p w14:paraId="2917086F"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3,8</w:t>
            </w:r>
          </w:p>
        </w:tc>
        <w:tc>
          <w:tcPr>
            <w:tcW w:w="960" w:type="dxa"/>
            <w:tcBorders>
              <w:top w:val="nil"/>
              <w:left w:val="nil"/>
              <w:bottom w:val="single" w:sz="4" w:space="0" w:color="auto"/>
              <w:right w:val="single" w:sz="4" w:space="0" w:color="auto"/>
            </w:tcBorders>
            <w:shd w:val="clear" w:color="000000" w:fill="FFFFFF"/>
            <w:noWrap/>
            <w:vAlign w:val="center"/>
            <w:hideMark/>
          </w:tcPr>
          <w:p w14:paraId="73AB6103"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4,0</w:t>
            </w:r>
          </w:p>
        </w:tc>
      </w:tr>
      <w:tr w:rsidR="00663A0B" w:rsidRPr="008272B8" w14:paraId="2447396D" w14:textId="77777777" w:rsidTr="008272B8">
        <w:trPr>
          <w:trHeight w:val="624"/>
          <w:jc w:val="center"/>
        </w:trPr>
        <w:tc>
          <w:tcPr>
            <w:tcW w:w="2960" w:type="dxa"/>
            <w:tcBorders>
              <w:top w:val="nil"/>
              <w:left w:val="single" w:sz="4" w:space="0" w:color="auto"/>
              <w:bottom w:val="single" w:sz="4" w:space="0" w:color="auto"/>
              <w:right w:val="single" w:sz="4" w:space="0" w:color="auto"/>
            </w:tcBorders>
            <w:shd w:val="clear" w:color="000000" w:fill="FFFFFF"/>
            <w:vAlign w:val="center"/>
            <w:hideMark/>
          </w:tcPr>
          <w:p w14:paraId="2621D472" w14:textId="77777777" w:rsidR="00663A0B" w:rsidRPr="008272B8" w:rsidRDefault="00663A0B"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Межбюджетные трансферты</w:t>
            </w:r>
          </w:p>
        </w:tc>
        <w:tc>
          <w:tcPr>
            <w:tcW w:w="960" w:type="dxa"/>
            <w:tcBorders>
              <w:top w:val="nil"/>
              <w:left w:val="nil"/>
              <w:bottom w:val="single" w:sz="4" w:space="0" w:color="auto"/>
              <w:right w:val="single" w:sz="4" w:space="0" w:color="auto"/>
            </w:tcBorders>
            <w:shd w:val="clear" w:color="000000" w:fill="FFFFFF"/>
            <w:noWrap/>
            <w:vAlign w:val="center"/>
            <w:hideMark/>
          </w:tcPr>
          <w:p w14:paraId="7ADFD7E7"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4,6</w:t>
            </w:r>
          </w:p>
        </w:tc>
        <w:tc>
          <w:tcPr>
            <w:tcW w:w="960" w:type="dxa"/>
            <w:tcBorders>
              <w:top w:val="nil"/>
              <w:left w:val="nil"/>
              <w:bottom w:val="single" w:sz="4" w:space="0" w:color="auto"/>
              <w:right w:val="single" w:sz="4" w:space="0" w:color="auto"/>
            </w:tcBorders>
            <w:shd w:val="clear" w:color="000000" w:fill="FFFFFF"/>
            <w:noWrap/>
            <w:vAlign w:val="center"/>
            <w:hideMark/>
          </w:tcPr>
          <w:p w14:paraId="786AA57C"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000000" w:fill="FFFFFF"/>
            <w:noWrap/>
            <w:vAlign w:val="center"/>
            <w:hideMark/>
          </w:tcPr>
          <w:p w14:paraId="2E5B8DE5"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5,5</w:t>
            </w:r>
          </w:p>
        </w:tc>
        <w:tc>
          <w:tcPr>
            <w:tcW w:w="960" w:type="dxa"/>
            <w:tcBorders>
              <w:top w:val="nil"/>
              <w:left w:val="nil"/>
              <w:bottom w:val="single" w:sz="4" w:space="0" w:color="auto"/>
              <w:right w:val="single" w:sz="4" w:space="0" w:color="auto"/>
            </w:tcBorders>
            <w:shd w:val="clear" w:color="000000" w:fill="FFFFFF"/>
            <w:noWrap/>
            <w:vAlign w:val="center"/>
            <w:hideMark/>
          </w:tcPr>
          <w:p w14:paraId="095F49CF"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4,0</w:t>
            </w:r>
          </w:p>
        </w:tc>
        <w:tc>
          <w:tcPr>
            <w:tcW w:w="960" w:type="dxa"/>
            <w:tcBorders>
              <w:top w:val="nil"/>
              <w:left w:val="nil"/>
              <w:bottom w:val="single" w:sz="4" w:space="0" w:color="auto"/>
              <w:right w:val="single" w:sz="4" w:space="0" w:color="auto"/>
            </w:tcBorders>
            <w:shd w:val="clear" w:color="000000" w:fill="FFFFFF"/>
            <w:noWrap/>
            <w:vAlign w:val="center"/>
            <w:hideMark/>
          </w:tcPr>
          <w:p w14:paraId="279F45D8" w14:textId="77777777" w:rsidR="00663A0B" w:rsidRPr="008272B8" w:rsidRDefault="00663A0B"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4,1</w:t>
            </w:r>
          </w:p>
        </w:tc>
      </w:tr>
    </w:tbl>
    <w:p w14:paraId="5B72C8C9" w14:textId="77777777" w:rsidR="00496C92" w:rsidRPr="008272B8" w:rsidRDefault="00C7036E" w:rsidP="008272B8">
      <w:pPr>
        <w:jc w:val="center"/>
        <w:rPr>
          <w:rFonts w:ascii="Times New Roman" w:hAnsi="Times New Roman" w:cs="Times New Roman"/>
        </w:rPr>
      </w:pPr>
      <w:r w:rsidRPr="008272B8">
        <w:rPr>
          <w:rFonts w:ascii="Times New Roman" w:hAnsi="Times New Roman" w:cs="Times New Roman"/>
          <w:i/>
        </w:rPr>
        <w:t>Источник:</w:t>
      </w:r>
      <w:r w:rsidRPr="008272B8">
        <w:rPr>
          <w:rFonts w:ascii="Times New Roman" w:hAnsi="Times New Roman" w:cs="Times New Roman"/>
        </w:rPr>
        <w:t xml:space="preserve"> Минфин России, расчёты Института «Центр развития» НИУ ВШЭ.</w:t>
      </w:r>
    </w:p>
    <w:p w14:paraId="5D8DBE14" w14:textId="77777777" w:rsidR="00C7036E" w:rsidRPr="008272B8" w:rsidRDefault="00C7036E" w:rsidP="008272B8">
      <w:pPr>
        <w:jc w:val="center"/>
        <w:rPr>
          <w:rFonts w:ascii="Times New Roman" w:hAnsi="Times New Roman" w:cs="Times New Roman"/>
        </w:rPr>
      </w:pPr>
      <w:r w:rsidRPr="008272B8">
        <w:rPr>
          <w:rFonts w:ascii="Times New Roman" w:hAnsi="Times New Roman" w:cs="Times New Roman"/>
          <w:i/>
        </w:rPr>
        <w:t>Примечание:</w:t>
      </w:r>
      <w:r w:rsidRPr="008272B8">
        <w:rPr>
          <w:rFonts w:ascii="Times New Roman" w:hAnsi="Times New Roman" w:cs="Times New Roman"/>
        </w:rPr>
        <w:t xml:space="preserve"> данные за 2014 год по расходам в целом и расходам по разделу «Национальная экономика» взяты без учета расходов на ОФЗ в размере 1 </w:t>
      </w:r>
      <w:proofErr w:type="gramStart"/>
      <w:r w:rsidRPr="008272B8">
        <w:rPr>
          <w:rFonts w:ascii="Times New Roman" w:hAnsi="Times New Roman" w:cs="Times New Roman"/>
        </w:rPr>
        <w:t>трлн</w:t>
      </w:r>
      <w:proofErr w:type="gramEnd"/>
      <w:r w:rsidRPr="008272B8">
        <w:rPr>
          <w:rFonts w:ascii="Times New Roman" w:hAnsi="Times New Roman" w:cs="Times New Roman"/>
        </w:rPr>
        <w:t xml:space="preserve"> руб. Данные за 2015 год приведены в соответствии с уточненной бюджетной росписью.</w:t>
      </w:r>
    </w:p>
    <w:p w14:paraId="21C1F729" w14:textId="77777777" w:rsidR="008272B8" w:rsidRDefault="008272B8" w:rsidP="00AC385D">
      <w:pPr>
        <w:pStyle w:val="2"/>
        <w:spacing w:line="276" w:lineRule="auto"/>
        <w:ind w:firstLine="709"/>
        <w:rPr>
          <w:rFonts w:ascii="Times New Roman" w:hAnsi="Times New Roman"/>
          <w:sz w:val="26"/>
          <w:szCs w:val="26"/>
        </w:rPr>
      </w:pPr>
    </w:p>
    <w:p w14:paraId="293396F8" w14:textId="77777777" w:rsidR="00496C92" w:rsidRPr="00AC385D" w:rsidRDefault="003924CD"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В структуре расходов федерального бюджета (см. Табл. 1), прежде всего, выделим рост общегосударственных расходов. Несмотря на все декларации</w:t>
      </w:r>
      <w:r w:rsidR="00496C92" w:rsidRPr="00AC385D">
        <w:rPr>
          <w:rFonts w:ascii="Times New Roman" w:hAnsi="Times New Roman"/>
          <w:sz w:val="26"/>
          <w:szCs w:val="26"/>
        </w:rPr>
        <w:t xml:space="preserve"> о снижении расходов на управление</w:t>
      </w:r>
      <w:r w:rsidRPr="00AC385D">
        <w:rPr>
          <w:rFonts w:ascii="Times New Roman" w:hAnsi="Times New Roman"/>
          <w:sz w:val="26"/>
          <w:szCs w:val="26"/>
        </w:rPr>
        <w:t xml:space="preserve">, </w:t>
      </w:r>
      <w:r w:rsidR="00496C92" w:rsidRPr="00AC385D">
        <w:rPr>
          <w:rFonts w:ascii="Times New Roman" w:hAnsi="Times New Roman"/>
          <w:sz w:val="26"/>
          <w:szCs w:val="26"/>
        </w:rPr>
        <w:t xml:space="preserve">их </w:t>
      </w:r>
      <w:r w:rsidRPr="00AC385D">
        <w:rPr>
          <w:rFonts w:ascii="Times New Roman" w:hAnsi="Times New Roman"/>
          <w:sz w:val="26"/>
          <w:szCs w:val="26"/>
        </w:rPr>
        <w:t xml:space="preserve">доля </w:t>
      </w:r>
      <w:r w:rsidR="00496C92" w:rsidRPr="00AC385D">
        <w:rPr>
          <w:rFonts w:ascii="Times New Roman" w:hAnsi="Times New Roman"/>
          <w:sz w:val="26"/>
          <w:szCs w:val="26"/>
        </w:rPr>
        <w:t>в бюджете неуклонно</w:t>
      </w:r>
      <w:r w:rsidR="00AC385D" w:rsidRPr="00AC385D">
        <w:rPr>
          <w:rFonts w:ascii="Times New Roman" w:hAnsi="Times New Roman"/>
          <w:sz w:val="26"/>
          <w:szCs w:val="26"/>
        </w:rPr>
        <w:t xml:space="preserve"> </w:t>
      </w:r>
      <w:r w:rsidRPr="00AC385D">
        <w:rPr>
          <w:rFonts w:ascii="Times New Roman" w:hAnsi="Times New Roman"/>
          <w:sz w:val="26"/>
          <w:szCs w:val="26"/>
        </w:rPr>
        <w:t xml:space="preserve">растет: по сравнению с 2012 годом в 2015-2016 годах этот рост составил 08-0,9 процентных пункта. </w:t>
      </w:r>
    </w:p>
    <w:p w14:paraId="3B336EFA" w14:textId="77777777" w:rsidR="00496C92" w:rsidRPr="00AC385D" w:rsidRDefault="003924CD"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Расходы на оборону в 2015 году выросли по сравнению с 2012 годом на 5 процентных пунктов и на 72% в номинальном выражении. В проекте бюджета на 2016 год эти расходы стабилизированы на уровне 2015 года.</w:t>
      </w:r>
      <w:r w:rsidR="00496C92" w:rsidRPr="00AC385D">
        <w:rPr>
          <w:rFonts w:ascii="Times New Roman" w:hAnsi="Times New Roman"/>
          <w:sz w:val="26"/>
          <w:szCs w:val="26"/>
        </w:rPr>
        <w:t xml:space="preserve"> Таким </w:t>
      </w:r>
      <w:proofErr w:type="gramStart"/>
      <w:r w:rsidR="00496C92" w:rsidRPr="00AC385D">
        <w:rPr>
          <w:rFonts w:ascii="Times New Roman" w:hAnsi="Times New Roman"/>
          <w:sz w:val="26"/>
          <w:szCs w:val="26"/>
        </w:rPr>
        <w:t>образом</w:t>
      </w:r>
      <w:proofErr w:type="gramEnd"/>
      <w:r w:rsidR="00496C92" w:rsidRPr="00AC385D">
        <w:rPr>
          <w:rFonts w:ascii="Times New Roman" w:hAnsi="Times New Roman"/>
          <w:sz w:val="26"/>
          <w:szCs w:val="26"/>
        </w:rPr>
        <w:t xml:space="preserve"> усилия, направленные на сокращение расходов на силовой блок (такие предложения были первоначально отражены и в ОНБП, и в предварительных версиях бюджета), не увенчались успехом. Следует отметить, что массированный рост оборонных расходов в 2015 году (на 25% г/г в номинальном выражении и почти на 8% в реальном выражении), создав дополнительный спрос на промышленную продукцию, тем не менее</w:t>
      </w:r>
      <w:r w:rsidR="003D7AC7" w:rsidRPr="00AC385D">
        <w:rPr>
          <w:rFonts w:ascii="Times New Roman" w:hAnsi="Times New Roman"/>
          <w:sz w:val="26"/>
          <w:szCs w:val="26"/>
        </w:rPr>
        <w:t>,</w:t>
      </w:r>
      <w:r w:rsidR="00496C92" w:rsidRPr="00AC385D">
        <w:rPr>
          <w:rFonts w:ascii="Times New Roman" w:hAnsi="Times New Roman"/>
          <w:sz w:val="26"/>
          <w:szCs w:val="26"/>
        </w:rPr>
        <w:t xml:space="preserve"> не позволил переломить общую негативную динамику промышленности. По нашим оценкам, в 2014 году вклад промышленных </w:t>
      </w:r>
      <w:r w:rsidR="00496C92" w:rsidRPr="00AC385D">
        <w:rPr>
          <w:rFonts w:ascii="Times New Roman" w:hAnsi="Times New Roman"/>
          <w:sz w:val="26"/>
          <w:szCs w:val="26"/>
        </w:rPr>
        <w:lastRenderedPageBreak/>
        <w:t>отраслей, напрямую зависящих от бюджетного финансирования (в основном это оборо</w:t>
      </w:r>
      <w:r w:rsidR="008272B8">
        <w:rPr>
          <w:rFonts w:ascii="Times New Roman" w:hAnsi="Times New Roman"/>
          <w:sz w:val="26"/>
          <w:szCs w:val="26"/>
        </w:rPr>
        <w:t>н</w:t>
      </w:r>
      <w:r w:rsidR="00496C92" w:rsidRPr="00AC385D">
        <w:rPr>
          <w:rFonts w:ascii="Times New Roman" w:hAnsi="Times New Roman"/>
          <w:sz w:val="26"/>
          <w:szCs w:val="26"/>
        </w:rPr>
        <w:t>н</w:t>
      </w:r>
      <w:r w:rsidR="003D7AC7" w:rsidRPr="00AC385D">
        <w:rPr>
          <w:rFonts w:ascii="Times New Roman" w:hAnsi="Times New Roman"/>
          <w:sz w:val="26"/>
          <w:szCs w:val="26"/>
        </w:rPr>
        <w:t>ый заказ</w:t>
      </w:r>
      <w:r w:rsidR="00496C92" w:rsidRPr="00AC385D">
        <w:rPr>
          <w:rFonts w:ascii="Times New Roman" w:hAnsi="Times New Roman"/>
          <w:sz w:val="26"/>
          <w:szCs w:val="26"/>
        </w:rPr>
        <w:t xml:space="preserve"> и закупки РЖД) обеспечил 1,1 </w:t>
      </w:r>
      <w:proofErr w:type="spellStart"/>
      <w:r w:rsidR="00496C92" w:rsidRPr="00AC385D">
        <w:rPr>
          <w:rFonts w:ascii="Times New Roman" w:hAnsi="Times New Roman"/>
          <w:sz w:val="26"/>
          <w:szCs w:val="26"/>
        </w:rPr>
        <w:t>п.п</w:t>
      </w:r>
      <w:proofErr w:type="spellEnd"/>
      <w:r w:rsidR="00496C92" w:rsidRPr="00AC385D">
        <w:rPr>
          <w:rFonts w:ascii="Times New Roman" w:hAnsi="Times New Roman"/>
          <w:sz w:val="26"/>
          <w:szCs w:val="26"/>
        </w:rPr>
        <w:t xml:space="preserve">. из 1,7 </w:t>
      </w:r>
      <w:proofErr w:type="spellStart"/>
      <w:r w:rsidR="00496C92" w:rsidRPr="00AC385D">
        <w:rPr>
          <w:rFonts w:ascii="Times New Roman" w:hAnsi="Times New Roman"/>
          <w:sz w:val="26"/>
          <w:szCs w:val="26"/>
        </w:rPr>
        <w:t>п.п</w:t>
      </w:r>
      <w:proofErr w:type="spellEnd"/>
      <w:r w:rsidR="00496C92" w:rsidRPr="00AC385D">
        <w:rPr>
          <w:rFonts w:ascii="Times New Roman" w:hAnsi="Times New Roman"/>
          <w:sz w:val="26"/>
          <w:szCs w:val="26"/>
        </w:rPr>
        <w:t xml:space="preserve">. роста промышленного производства по итогам года. За первые восемь месяцев текущего года вклад тех же секторов в динамику промышленности был отрицательным и составил минус 0,6 </w:t>
      </w:r>
      <w:proofErr w:type="spellStart"/>
      <w:r w:rsidR="00496C92" w:rsidRPr="00AC385D">
        <w:rPr>
          <w:rFonts w:ascii="Times New Roman" w:hAnsi="Times New Roman"/>
          <w:sz w:val="26"/>
          <w:szCs w:val="26"/>
        </w:rPr>
        <w:t>п.п</w:t>
      </w:r>
      <w:proofErr w:type="spellEnd"/>
      <w:r w:rsidR="00496C92" w:rsidRPr="00AC385D">
        <w:rPr>
          <w:rFonts w:ascii="Times New Roman" w:hAnsi="Times New Roman"/>
          <w:sz w:val="26"/>
          <w:szCs w:val="26"/>
        </w:rPr>
        <w:t>. при суммарном падении промышленности за январь-</w:t>
      </w:r>
      <w:r w:rsidR="003D7AC7" w:rsidRPr="00AC385D">
        <w:rPr>
          <w:rFonts w:ascii="Times New Roman" w:hAnsi="Times New Roman"/>
          <w:sz w:val="26"/>
          <w:szCs w:val="26"/>
        </w:rPr>
        <w:t>сентябрь</w:t>
      </w:r>
      <w:r w:rsidR="00496C92" w:rsidRPr="00AC385D">
        <w:rPr>
          <w:rFonts w:ascii="Times New Roman" w:hAnsi="Times New Roman"/>
          <w:sz w:val="26"/>
          <w:szCs w:val="26"/>
        </w:rPr>
        <w:t xml:space="preserve"> на 3,2% год к году.</w:t>
      </w:r>
    </w:p>
    <w:p w14:paraId="3F354037" w14:textId="77777777" w:rsidR="003D7AC7" w:rsidRPr="00AC385D" w:rsidRDefault="00F05B00"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 xml:space="preserve">Несмотря на некоторое повышение суммарной доли расходов на социальный блок, бюджет 2016 года нельзя назвать «социальным» с точки зрения заботы о развитии социальной сферы. </w:t>
      </w:r>
      <w:proofErr w:type="gramStart"/>
      <w:r w:rsidRPr="00AC385D">
        <w:rPr>
          <w:rFonts w:ascii="Times New Roman" w:hAnsi="Times New Roman"/>
          <w:sz w:val="26"/>
          <w:szCs w:val="26"/>
        </w:rPr>
        <w:t xml:space="preserve">Основные изменения в части пенсий свелись к сокращению масштабов </w:t>
      </w:r>
      <w:r w:rsidR="005024BF" w:rsidRPr="00AC385D">
        <w:rPr>
          <w:rFonts w:ascii="Times New Roman" w:hAnsi="Times New Roman"/>
          <w:sz w:val="26"/>
          <w:szCs w:val="26"/>
        </w:rPr>
        <w:t>запланированной</w:t>
      </w:r>
      <w:r w:rsidRPr="00AC385D">
        <w:rPr>
          <w:rFonts w:ascii="Times New Roman" w:hAnsi="Times New Roman"/>
          <w:sz w:val="26"/>
          <w:szCs w:val="26"/>
        </w:rPr>
        <w:t xml:space="preserve"> индексации (до 4%, что означает реальное сокращение пенсий на 3–4%</w:t>
      </w:r>
      <w:r w:rsidR="005A321F" w:rsidRPr="00AC385D">
        <w:rPr>
          <w:rFonts w:ascii="Times New Roman" w:hAnsi="Times New Roman"/>
          <w:sz w:val="26"/>
          <w:szCs w:val="26"/>
        </w:rPr>
        <w:t xml:space="preserve"> при ожидаемой в 2016 году среднегодовой инфляции </w:t>
      </w:r>
      <w:r w:rsidR="00A6198C" w:rsidRPr="00AC385D">
        <w:rPr>
          <w:rFonts w:ascii="Times New Roman" w:hAnsi="Times New Roman"/>
          <w:sz w:val="26"/>
          <w:szCs w:val="26"/>
        </w:rPr>
        <w:t>7,4%</w:t>
      </w:r>
      <w:r w:rsidRPr="00AC385D">
        <w:rPr>
          <w:rFonts w:ascii="Times New Roman" w:hAnsi="Times New Roman"/>
          <w:sz w:val="26"/>
          <w:szCs w:val="26"/>
        </w:rPr>
        <w:t xml:space="preserve">) и очередной </w:t>
      </w:r>
      <w:r w:rsidR="005024BF" w:rsidRPr="00AC385D">
        <w:rPr>
          <w:rFonts w:ascii="Times New Roman" w:hAnsi="Times New Roman"/>
          <w:sz w:val="26"/>
          <w:szCs w:val="26"/>
        </w:rPr>
        <w:t xml:space="preserve">(третий год подряд) </w:t>
      </w:r>
      <w:r w:rsidRPr="00AC385D">
        <w:rPr>
          <w:rFonts w:ascii="Times New Roman" w:hAnsi="Times New Roman"/>
          <w:sz w:val="26"/>
          <w:szCs w:val="26"/>
        </w:rPr>
        <w:t>заморозке накопительной части.</w:t>
      </w:r>
      <w:proofErr w:type="gramEnd"/>
      <w:r w:rsidRPr="00AC385D">
        <w:rPr>
          <w:rFonts w:ascii="Times New Roman" w:hAnsi="Times New Roman"/>
          <w:sz w:val="26"/>
          <w:szCs w:val="26"/>
        </w:rPr>
        <w:t xml:space="preserve"> </w:t>
      </w:r>
      <w:r w:rsidR="00A6198C" w:rsidRPr="00AC385D">
        <w:rPr>
          <w:rFonts w:ascii="Times New Roman" w:hAnsi="Times New Roman"/>
          <w:sz w:val="26"/>
          <w:szCs w:val="26"/>
        </w:rPr>
        <w:t>Н</w:t>
      </w:r>
      <w:r w:rsidR="005024BF" w:rsidRPr="00AC385D">
        <w:rPr>
          <w:rFonts w:ascii="Times New Roman" w:hAnsi="Times New Roman"/>
          <w:sz w:val="26"/>
          <w:szCs w:val="26"/>
        </w:rPr>
        <w:t>а</w:t>
      </w:r>
      <w:r w:rsidRPr="00AC385D">
        <w:rPr>
          <w:rFonts w:ascii="Times New Roman" w:hAnsi="Times New Roman"/>
          <w:sz w:val="26"/>
          <w:szCs w:val="26"/>
        </w:rPr>
        <w:t xml:space="preserve">зревшие реформы в этой сфере </w:t>
      </w:r>
      <w:r w:rsidR="005024BF" w:rsidRPr="00AC385D">
        <w:rPr>
          <w:rFonts w:ascii="Times New Roman" w:hAnsi="Times New Roman"/>
          <w:sz w:val="26"/>
          <w:szCs w:val="26"/>
        </w:rPr>
        <w:t>(</w:t>
      </w:r>
      <w:r w:rsidR="00A6198C" w:rsidRPr="00AC385D">
        <w:rPr>
          <w:rFonts w:ascii="Times New Roman" w:hAnsi="Times New Roman"/>
          <w:sz w:val="26"/>
          <w:szCs w:val="26"/>
        </w:rPr>
        <w:t>в частности,</w:t>
      </w:r>
      <w:r w:rsidR="005024BF" w:rsidRPr="00AC385D">
        <w:rPr>
          <w:rFonts w:ascii="Times New Roman" w:hAnsi="Times New Roman"/>
          <w:sz w:val="26"/>
          <w:szCs w:val="26"/>
        </w:rPr>
        <w:t xml:space="preserve"> повышение пенсионного возраста) </w:t>
      </w:r>
      <w:r w:rsidRPr="00AC385D">
        <w:rPr>
          <w:rFonts w:ascii="Times New Roman" w:hAnsi="Times New Roman"/>
          <w:sz w:val="26"/>
          <w:szCs w:val="26"/>
        </w:rPr>
        <w:t>были в</w:t>
      </w:r>
      <w:r w:rsidR="005024BF" w:rsidRPr="00AC385D">
        <w:rPr>
          <w:rFonts w:ascii="Times New Roman" w:hAnsi="Times New Roman"/>
          <w:sz w:val="26"/>
          <w:szCs w:val="26"/>
        </w:rPr>
        <w:t>новь</w:t>
      </w:r>
      <w:r w:rsidRPr="00AC385D">
        <w:rPr>
          <w:rFonts w:ascii="Times New Roman" w:hAnsi="Times New Roman"/>
          <w:sz w:val="26"/>
          <w:szCs w:val="26"/>
        </w:rPr>
        <w:t xml:space="preserve"> от</w:t>
      </w:r>
      <w:r w:rsidR="00A6198C" w:rsidRPr="00AC385D">
        <w:rPr>
          <w:rFonts w:ascii="Times New Roman" w:hAnsi="Times New Roman"/>
          <w:sz w:val="26"/>
          <w:szCs w:val="26"/>
        </w:rPr>
        <w:t>ложены</w:t>
      </w:r>
      <w:r w:rsidRPr="00AC385D">
        <w:rPr>
          <w:rFonts w:ascii="Times New Roman" w:hAnsi="Times New Roman"/>
          <w:sz w:val="26"/>
          <w:szCs w:val="26"/>
        </w:rPr>
        <w:t xml:space="preserve">, </w:t>
      </w:r>
      <w:r w:rsidR="00A6198C" w:rsidRPr="00AC385D">
        <w:rPr>
          <w:rFonts w:ascii="Times New Roman" w:hAnsi="Times New Roman"/>
          <w:sz w:val="26"/>
          <w:szCs w:val="26"/>
        </w:rPr>
        <w:t>несмотря на снижение</w:t>
      </w:r>
      <w:r w:rsidR="005A321F" w:rsidRPr="00AC385D">
        <w:rPr>
          <w:rFonts w:ascii="Times New Roman" w:hAnsi="Times New Roman"/>
          <w:sz w:val="26"/>
          <w:szCs w:val="26"/>
        </w:rPr>
        <w:t xml:space="preserve"> темп</w:t>
      </w:r>
      <w:r w:rsidR="00A6198C" w:rsidRPr="00AC385D">
        <w:rPr>
          <w:rFonts w:ascii="Times New Roman" w:hAnsi="Times New Roman"/>
          <w:sz w:val="26"/>
          <w:szCs w:val="26"/>
        </w:rPr>
        <w:t>ов</w:t>
      </w:r>
      <w:r w:rsidR="005A321F" w:rsidRPr="00AC385D">
        <w:rPr>
          <w:rFonts w:ascii="Times New Roman" w:hAnsi="Times New Roman"/>
          <w:sz w:val="26"/>
          <w:szCs w:val="26"/>
        </w:rPr>
        <w:t xml:space="preserve"> роста </w:t>
      </w:r>
      <w:r w:rsidRPr="00AC385D">
        <w:rPr>
          <w:rFonts w:ascii="Times New Roman" w:hAnsi="Times New Roman"/>
          <w:sz w:val="26"/>
          <w:szCs w:val="26"/>
        </w:rPr>
        <w:t>доходов (</w:t>
      </w:r>
      <w:r w:rsidR="005A321F" w:rsidRPr="00AC385D">
        <w:rPr>
          <w:rFonts w:ascii="Times New Roman" w:hAnsi="Times New Roman"/>
          <w:sz w:val="26"/>
          <w:szCs w:val="26"/>
        </w:rPr>
        <w:t>по итогам первого полугодия 2015 года объем налогов и страховых взносов, уплаченных в Пенсионный фонд</w:t>
      </w:r>
      <w:r w:rsidR="00A6198C" w:rsidRPr="00AC385D">
        <w:rPr>
          <w:rFonts w:ascii="Times New Roman" w:hAnsi="Times New Roman"/>
          <w:sz w:val="26"/>
          <w:szCs w:val="26"/>
        </w:rPr>
        <w:t>,</w:t>
      </w:r>
      <w:r w:rsidR="005A321F" w:rsidRPr="00AC385D">
        <w:rPr>
          <w:rFonts w:ascii="Times New Roman" w:hAnsi="Times New Roman"/>
          <w:sz w:val="26"/>
          <w:szCs w:val="26"/>
        </w:rPr>
        <w:t xml:space="preserve"> вырос всего на 4,8%)</w:t>
      </w:r>
      <w:r w:rsidRPr="00AC385D">
        <w:rPr>
          <w:rFonts w:ascii="Times New Roman" w:hAnsi="Times New Roman"/>
          <w:sz w:val="26"/>
          <w:szCs w:val="26"/>
        </w:rPr>
        <w:t>.</w:t>
      </w:r>
    </w:p>
    <w:p w14:paraId="78ED5E2F" w14:textId="77777777" w:rsidR="003924CD" w:rsidRPr="00AC385D" w:rsidRDefault="003924CD"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Рост доли затрат по разделу «Национальная экономика»</w:t>
      </w:r>
      <w:r w:rsidR="00AC385D" w:rsidRPr="00AC385D">
        <w:rPr>
          <w:rFonts w:ascii="Times New Roman" w:hAnsi="Times New Roman"/>
          <w:sz w:val="26"/>
          <w:szCs w:val="26"/>
        </w:rPr>
        <w:t xml:space="preserve"> </w:t>
      </w:r>
      <w:r w:rsidRPr="00AC385D">
        <w:rPr>
          <w:rFonts w:ascii="Times New Roman" w:hAnsi="Times New Roman"/>
          <w:sz w:val="26"/>
          <w:szCs w:val="26"/>
        </w:rPr>
        <w:t>обусловлен включением в него резерва в 342 млрд. руб. для реализации мероприятий, осуществляемых на основании отдельных решений Президента России. При этом по большинству подразделов раздела «Национальная экономика» расходы снижаются. Например, расходы на прикладные научные исследования в области национальной экономики снижаются почти вдвое.</w:t>
      </w:r>
    </w:p>
    <w:p w14:paraId="454339F8" w14:textId="77777777" w:rsidR="004E7AF7" w:rsidRPr="00AC385D" w:rsidRDefault="00A6198C"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 xml:space="preserve">Еще в большей степени отход от «социального» характера бюджета проявился в динамике расходов на образование и здравоохранение, вытеснение которых приняло системный характер и проявляется в опережающем сокращении этих расходов и по доле в бюджетных расходах, и в номинальном, и в реальном выражении. </w:t>
      </w:r>
      <w:r w:rsidR="00391E6A" w:rsidRPr="00AC385D">
        <w:rPr>
          <w:rFonts w:ascii="Times New Roman" w:hAnsi="Times New Roman"/>
          <w:sz w:val="26"/>
          <w:szCs w:val="26"/>
        </w:rPr>
        <w:t xml:space="preserve">Расходы на образование в проекте федерального бюджета сокращаются в 2016 году, по сравнению с 2015 годом </w:t>
      </w:r>
      <w:r w:rsidR="00391E6A" w:rsidRPr="00AC385D">
        <w:rPr>
          <w:rFonts w:ascii="Times New Roman" w:hAnsi="Times New Roman"/>
          <w:sz w:val="26"/>
          <w:szCs w:val="26"/>
        </w:rPr>
        <w:noBreakHyphen/>
        <w:t xml:space="preserve"> в номинальном выражении </w:t>
      </w:r>
      <w:r w:rsidR="00391E6A" w:rsidRPr="00AC385D">
        <w:rPr>
          <w:rFonts w:ascii="Times New Roman" w:hAnsi="Times New Roman"/>
          <w:sz w:val="26"/>
          <w:szCs w:val="26"/>
        </w:rPr>
        <w:noBreakHyphen/>
        <w:t xml:space="preserve"> на 8,5%. Частично это объясняется тем, что федеральный бюджет «сбрасывает» расходы на дошкольное и профессиональное образование, которые, в соответствии с разделением бюджетных полномочий должны финансироваться с регионального бюджетного уровня. </w:t>
      </w:r>
      <w:r w:rsidR="004E7AF7" w:rsidRPr="00AC385D">
        <w:rPr>
          <w:rFonts w:ascii="Times New Roman" w:hAnsi="Times New Roman"/>
          <w:sz w:val="26"/>
          <w:szCs w:val="26"/>
        </w:rPr>
        <w:t>Следует отметить, что возможности для финансирования дополнительных обязатель</w:t>
      </w:r>
      <w:proofErr w:type="gramStart"/>
      <w:r w:rsidR="004E7AF7" w:rsidRPr="00AC385D">
        <w:rPr>
          <w:rFonts w:ascii="Times New Roman" w:hAnsi="Times New Roman"/>
          <w:sz w:val="26"/>
          <w:szCs w:val="26"/>
        </w:rPr>
        <w:t>ств в сф</w:t>
      </w:r>
      <w:proofErr w:type="gramEnd"/>
      <w:r w:rsidR="004E7AF7" w:rsidRPr="00AC385D">
        <w:rPr>
          <w:rFonts w:ascii="Times New Roman" w:hAnsi="Times New Roman"/>
          <w:sz w:val="26"/>
          <w:szCs w:val="26"/>
        </w:rPr>
        <w:t>ере образования у региональных бюджетов зачастую отсутствуют. Уже в 2015 году в условиях недостатка доходов и источников финансирования дефицита, многие регионы приступили к номинальному сокращению расходов. В январе-августе 2015 года по сравнению с тем же периодом прошлого года объем номинальных расходов сократили 18 регионов. При этом 27 регионов за тот же период сократили в номинальном выражении расходы на образование, 9 из них более чем на 5%.</w:t>
      </w:r>
    </w:p>
    <w:p w14:paraId="3F13B38A" w14:textId="77777777" w:rsidR="00391E6A" w:rsidRPr="00AC385D" w:rsidRDefault="004E7AF7"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Одновременно</w:t>
      </w:r>
      <w:r w:rsidR="00391E6A" w:rsidRPr="00AC385D">
        <w:rPr>
          <w:rFonts w:ascii="Times New Roman" w:hAnsi="Times New Roman"/>
          <w:sz w:val="26"/>
          <w:szCs w:val="26"/>
        </w:rPr>
        <w:t xml:space="preserve"> сокращаются расходы и на высшее образование (См. Табл. 2 и Рис. 2). В 2016 году эти расходы в неиз</w:t>
      </w:r>
      <w:r w:rsidR="008272B8">
        <w:rPr>
          <w:rFonts w:ascii="Times New Roman" w:hAnsi="Times New Roman"/>
          <w:sz w:val="26"/>
          <w:szCs w:val="26"/>
        </w:rPr>
        <w:t>менных ценах составят всего 78%</w:t>
      </w:r>
      <w:r w:rsidR="00391E6A" w:rsidRPr="00AC385D">
        <w:rPr>
          <w:rFonts w:ascii="Times New Roman" w:hAnsi="Times New Roman"/>
          <w:sz w:val="26"/>
          <w:szCs w:val="26"/>
        </w:rPr>
        <w:t xml:space="preserve"> от уровня 2012 года. </w:t>
      </w:r>
    </w:p>
    <w:p w14:paraId="71DB83CE" w14:textId="77777777" w:rsidR="00365A92" w:rsidRPr="00AC385D" w:rsidRDefault="00365A92" w:rsidP="008272B8">
      <w:pPr>
        <w:pStyle w:val="GraphicHead"/>
        <w:spacing w:line="276" w:lineRule="auto"/>
        <w:jc w:val="center"/>
        <w:rPr>
          <w:rFonts w:ascii="Times New Roman" w:hAnsi="Times New Roman" w:cs="Times New Roman"/>
          <w:color w:val="auto"/>
          <w:sz w:val="26"/>
          <w:szCs w:val="26"/>
        </w:rPr>
      </w:pPr>
      <w:r w:rsidRPr="00AC385D">
        <w:rPr>
          <w:rFonts w:ascii="Times New Roman" w:hAnsi="Times New Roman" w:cs="Times New Roman"/>
          <w:color w:val="auto"/>
          <w:sz w:val="26"/>
          <w:szCs w:val="26"/>
        </w:rPr>
        <w:t>Таблица.2. Расходы по разделу «Образование» и подразделам, млрд. руб.</w:t>
      </w:r>
    </w:p>
    <w:tbl>
      <w:tblPr>
        <w:tblW w:w="7400" w:type="dxa"/>
        <w:jc w:val="center"/>
        <w:tblInd w:w="93" w:type="dxa"/>
        <w:tblLook w:val="04A0" w:firstRow="1" w:lastRow="0" w:firstColumn="1" w:lastColumn="0" w:noHBand="0" w:noVBand="1"/>
      </w:tblPr>
      <w:tblGrid>
        <w:gridCol w:w="3620"/>
        <w:gridCol w:w="756"/>
        <w:gridCol w:w="756"/>
        <w:gridCol w:w="756"/>
        <w:gridCol w:w="756"/>
        <w:gridCol w:w="756"/>
      </w:tblGrid>
      <w:tr w:rsidR="00391E6A" w:rsidRPr="008272B8" w14:paraId="67D85C32" w14:textId="77777777" w:rsidTr="008272B8">
        <w:trPr>
          <w:trHeight w:val="312"/>
          <w:jc w:val="center"/>
        </w:trPr>
        <w:tc>
          <w:tcPr>
            <w:tcW w:w="36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C6B67"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 </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2D9101BF"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2012</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2EFCC020"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2013</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316346E5"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2014</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8A38CAB"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2015</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14:paraId="45584EEB"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2016</w:t>
            </w:r>
          </w:p>
        </w:tc>
      </w:tr>
      <w:tr w:rsidR="00391E6A" w:rsidRPr="008272B8" w14:paraId="5ACBB1E0" w14:textId="77777777" w:rsidTr="008272B8">
        <w:trPr>
          <w:trHeight w:val="312"/>
          <w:jc w:val="center"/>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14:paraId="7255C74C" w14:textId="77777777" w:rsidR="00391E6A" w:rsidRPr="008272B8" w:rsidRDefault="00391E6A" w:rsidP="00AC385D">
            <w:pPr>
              <w:spacing w:after="0"/>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Образование, всего</w:t>
            </w:r>
          </w:p>
        </w:tc>
        <w:tc>
          <w:tcPr>
            <w:tcW w:w="756" w:type="dxa"/>
            <w:tcBorders>
              <w:top w:val="nil"/>
              <w:left w:val="nil"/>
              <w:bottom w:val="single" w:sz="4" w:space="0" w:color="auto"/>
              <w:right w:val="single" w:sz="4" w:space="0" w:color="auto"/>
            </w:tcBorders>
            <w:shd w:val="clear" w:color="auto" w:fill="auto"/>
            <w:noWrap/>
            <w:vAlign w:val="center"/>
            <w:hideMark/>
          </w:tcPr>
          <w:p w14:paraId="5FCBA658" w14:textId="77777777" w:rsidR="00391E6A" w:rsidRPr="008272B8" w:rsidRDefault="00391E6A"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603,8</w:t>
            </w:r>
          </w:p>
        </w:tc>
        <w:tc>
          <w:tcPr>
            <w:tcW w:w="756" w:type="dxa"/>
            <w:tcBorders>
              <w:top w:val="nil"/>
              <w:left w:val="nil"/>
              <w:bottom w:val="single" w:sz="4" w:space="0" w:color="auto"/>
              <w:right w:val="single" w:sz="4" w:space="0" w:color="auto"/>
            </w:tcBorders>
            <w:shd w:val="clear" w:color="auto" w:fill="auto"/>
            <w:noWrap/>
            <w:vAlign w:val="center"/>
            <w:hideMark/>
          </w:tcPr>
          <w:p w14:paraId="22B96200" w14:textId="77777777" w:rsidR="00391E6A" w:rsidRPr="008272B8" w:rsidRDefault="00391E6A"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672,3</w:t>
            </w:r>
          </w:p>
        </w:tc>
        <w:tc>
          <w:tcPr>
            <w:tcW w:w="756" w:type="dxa"/>
            <w:tcBorders>
              <w:top w:val="nil"/>
              <w:left w:val="nil"/>
              <w:bottom w:val="single" w:sz="4" w:space="0" w:color="auto"/>
              <w:right w:val="single" w:sz="4" w:space="0" w:color="auto"/>
            </w:tcBorders>
            <w:shd w:val="clear" w:color="auto" w:fill="auto"/>
            <w:noWrap/>
            <w:vAlign w:val="center"/>
            <w:hideMark/>
          </w:tcPr>
          <w:p w14:paraId="3CF16049" w14:textId="77777777" w:rsidR="00391E6A" w:rsidRPr="008272B8" w:rsidRDefault="00391E6A"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638,3</w:t>
            </w:r>
          </w:p>
        </w:tc>
        <w:tc>
          <w:tcPr>
            <w:tcW w:w="756" w:type="dxa"/>
            <w:tcBorders>
              <w:top w:val="nil"/>
              <w:left w:val="nil"/>
              <w:bottom w:val="single" w:sz="4" w:space="0" w:color="auto"/>
              <w:right w:val="single" w:sz="4" w:space="0" w:color="auto"/>
            </w:tcBorders>
            <w:shd w:val="clear" w:color="auto" w:fill="auto"/>
            <w:noWrap/>
            <w:vAlign w:val="center"/>
            <w:hideMark/>
          </w:tcPr>
          <w:p w14:paraId="13079289" w14:textId="77777777" w:rsidR="00391E6A" w:rsidRPr="008272B8" w:rsidRDefault="00391E6A"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632,0</w:t>
            </w:r>
          </w:p>
        </w:tc>
        <w:tc>
          <w:tcPr>
            <w:tcW w:w="756" w:type="dxa"/>
            <w:tcBorders>
              <w:top w:val="nil"/>
              <w:left w:val="nil"/>
              <w:bottom w:val="single" w:sz="4" w:space="0" w:color="auto"/>
              <w:right w:val="single" w:sz="4" w:space="0" w:color="auto"/>
            </w:tcBorders>
            <w:shd w:val="clear" w:color="auto" w:fill="auto"/>
            <w:noWrap/>
            <w:vAlign w:val="center"/>
            <w:hideMark/>
          </w:tcPr>
          <w:p w14:paraId="248D4639" w14:textId="77777777" w:rsidR="00391E6A" w:rsidRPr="008272B8" w:rsidRDefault="00391E6A" w:rsidP="00AC385D">
            <w:pPr>
              <w:spacing w:after="0"/>
              <w:jc w:val="center"/>
              <w:rPr>
                <w:rFonts w:ascii="Times New Roman" w:eastAsia="Times New Roman" w:hAnsi="Times New Roman" w:cs="Times New Roman"/>
                <w:b/>
                <w:bCs/>
                <w:color w:val="000000"/>
                <w:lang w:eastAsia="ru-RU"/>
              </w:rPr>
            </w:pPr>
            <w:r w:rsidRPr="008272B8">
              <w:rPr>
                <w:rFonts w:ascii="Times New Roman" w:eastAsia="Times New Roman" w:hAnsi="Times New Roman" w:cs="Times New Roman"/>
                <w:b/>
                <w:bCs/>
                <w:color w:val="000000"/>
                <w:lang w:eastAsia="ru-RU"/>
              </w:rPr>
              <w:t>578,6</w:t>
            </w:r>
          </w:p>
        </w:tc>
      </w:tr>
      <w:tr w:rsidR="00391E6A" w:rsidRPr="008272B8" w14:paraId="0DEF247F" w14:textId="77777777" w:rsidTr="008272B8">
        <w:trPr>
          <w:trHeight w:val="468"/>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5373CEEB"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lastRenderedPageBreak/>
              <w:t>Дошкольное образование</w:t>
            </w:r>
          </w:p>
        </w:tc>
        <w:tc>
          <w:tcPr>
            <w:tcW w:w="756" w:type="dxa"/>
            <w:tcBorders>
              <w:top w:val="nil"/>
              <w:left w:val="nil"/>
              <w:bottom w:val="single" w:sz="4" w:space="0" w:color="auto"/>
              <w:right w:val="single" w:sz="4" w:space="0" w:color="auto"/>
            </w:tcBorders>
            <w:shd w:val="clear" w:color="000000" w:fill="FFFFFF"/>
            <w:noWrap/>
            <w:vAlign w:val="center"/>
            <w:hideMark/>
          </w:tcPr>
          <w:p w14:paraId="1CD5E078"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6,9</w:t>
            </w:r>
          </w:p>
        </w:tc>
        <w:tc>
          <w:tcPr>
            <w:tcW w:w="756" w:type="dxa"/>
            <w:tcBorders>
              <w:top w:val="nil"/>
              <w:left w:val="nil"/>
              <w:bottom w:val="single" w:sz="4" w:space="0" w:color="auto"/>
              <w:right w:val="single" w:sz="4" w:space="0" w:color="auto"/>
            </w:tcBorders>
            <w:shd w:val="clear" w:color="000000" w:fill="FFFFFF"/>
            <w:noWrap/>
            <w:vAlign w:val="center"/>
            <w:hideMark/>
          </w:tcPr>
          <w:p w14:paraId="54111FED"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57,7</w:t>
            </w:r>
          </w:p>
        </w:tc>
        <w:tc>
          <w:tcPr>
            <w:tcW w:w="756" w:type="dxa"/>
            <w:tcBorders>
              <w:top w:val="nil"/>
              <w:left w:val="nil"/>
              <w:bottom w:val="single" w:sz="4" w:space="0" w:color="auto"/>
              <w:right w:val="single" w:sz="4" w:space="0" w:color="auto"/>
            </w:tcBorders>
            <w:shd w:val="clear" w:color="000000" w:fill="FFFFFF"/>
            <w:noWrap/>
            <w:vAlign w:val="center"/>
            <w:hideMark/>
          </w:tcPr>
          <w:p w14:paraId="3002BA1D"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55,8</w:t>
            </w:r>
          </w:p>
        </w:tc>
        <w:tc>
          <w:tcPr>
            <w:tcW w:w="756" w:type="dxa"/>
            <w:tcBorders>
              <w:top w:val="nil"/>
              <w:left w:val="nil"/>
              <w:bottom w:val="single" w:sz="4" w:space="0" w:color="auto"/>
              <w:right w:val="single" w:sz="4" w:space="0" w:color="auto"/>
            </w:tcBorders>
            <w:shd w:val="clear" w:color="000000" w:fill="FFFFFF"/>
            <w:noWrap/>
            <w:vAlign w:val="center"/>
            <w:hideMark/>
          </w:tcPr>
          <w:p w14:paraId="73AABD67"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36,3</w:t>
            </w:r>
          </w:p>
        </w:tc>
        <w:tc>
          <w:tcPr>
            <w:tcW w:w="756" w:type="dxa"/>
            <w:tcBorders>
              <w:top w:val="nil"/>
              <w:left w:val="nil"/>
              <w:bottom w:val="single" w:sz="4" w:space="0" w:color="auto"/>
              <w:right w:val="single" w:sz="4" w:space="0" w:color="auto"/>
            </w:tcBorders>
            <w:shd w:val="clear" w:color="000000" w:fill="FFFFFF"/>
            <w:noWrap/>
            <w:vAlign w:val="center"/>
            <w:hideMark/>
          </w:tcPr>
          <w:p w14:paraId="78311492"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5,3</w:t>
            </w:r>
          </w:p>
        </w:tc>
      </w:tr>
      <w:tr w:rsidR="00391E6A" w:rsidRPr="008272B8" w14:paraId="64845C6A" w14:textId="77777777" w:rsidTr="008272B8">
        <w:trPr>
          <w:trHeight w:val="468"/>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2A57CE91"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Общее образование</w:t>
            </w:r>
          </w:p>
        </w:tc>
        <w:tc>
          <w:tcPr>
            <w:tcW w:w="756" w:type="dxa"/>
            <w:tcBorders>
              <w:top w:val="nil"/>
              <w:left w:val="nil"/>
              <w:bottom w:val="single" w:sz="4" w:space="0" w:color="auto"/>
              <w:right w:val="single" w:sz="4" w:space="0" w:color="auto"/>
            </w:tcBorders>
            <w:shd w:val="clear" w:color="000000" w:fill="FFFFFF"/>
            <w:noWrap/>
            <w:vAlign w:val="center"/>
            <w:hideMark/>
          </w:tcPr>
          <w:p w14:paraId="059C4D85"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89,6</w:t>
            </w:r>
          </w:p>
        </w:tc>
        <w:tc>
          <w:tcPr>
            <w:tcW w:w="756" w:type="dxa"/>
            <w:tcBorders>
              <w:top w:val="nil"/>
              <w:left w:val="nil"/>
              <w:bottom w:val="single" w:sz="4" w:space="0" w:color="auto"/>
              <w:right w:val="single" w:sz="4" w:space="0" w:color="auto"/>
            </w:tcBorders>
            <w:shd w:val="clear" w:color="000000" w:fill="FFFFFF"/>
            <w:noWrap/>
            <w:vAlign w:val="center"/>
            <w:hideMark/>
          </w:tcPr>
          <w:p w14:paraId="5856ADAC"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67,0</w:t>
            </w:r>
          </w:p>
        </w:tc>
        <w:tc>
          <w:tcPr>
            <w:tcW w:w="756" w:type="dxa"/>
            <w:tcBorders>
              <w:top w:val="nil"/>
              <w:left w:val="nil"/>
              <w:bottom w:val="single" w:sz="4" w:space="0" w:color="auto"/>
              <w:right w:val="single" w:sz="4" w:space="0" w:color="auto"/>
            </w:tcBorders>
            <w:shd w:val="clear" w:color="000000" w:fill="FFFFFF"/>
            <w:noWrap/>
            <w:vAlign w:val="center"/>
            <w:hideMark/>
          </w:tcPr>
          <w:p w14:paraId="10518ED5"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30,2</w:t>
            </w:r>
          </w:p>
        </w:tc>
        <w:tc>
          <w:tcPr>
            <w:tcW w:w="756" w:type="dxa"/>
            <w:tcBorders>
              <w:top w:val="nil"/>
              <w:left w:val="nil"/>
              <w:bottom w:val="single" w:sz="4" w:space="0" w:color="auto"/>
              <w:right w:val="single" w:sz="4" w:space="0" w:color="auto"/>
            </w:tcBorders>
            <w:shd w:val="clear" w:color="000000" w:fill="FFFFFF"/>
            <w:noWrap/>
            <w:vAlign w:val="center"/>
            <w:hideMark/>
          </w:tcPr>
          <w:p w14:paraId="23E131B6"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36,9</w:t>
            </w:r>
          </w:p>
        </w:tc>
        <w:tc>
          <w:tcPr>
            <w:tcW w:w="756" w:type="dxa"/>
            <w:tcBorders>
              <w:top w:val="nil"/>
              <w:left w:val="nil"/>
              <w:bottom w:val="single" w:sz="4" w:space="0" w:color="auto"/>
              <w:right w:val="single" w:sz="4" w:space="0" w:color="auto"/>
            </w:tcBorders>
            <w:shd w:val="clear" w:color="000000" w:fill="FFFFFF"/>
            <w:noWrap/>
            <w:vAlign w:val="center"/>
            <w:hideMark/>
          </w:tcPr>
          <w:p w14:paraId="113CCCAA"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26,8</w:t>
            </w:r>
          </w:p>
        </w:tc>
      </w:tr>
      <w:tr w:rsidR="00391E6A" w:rsidRPr="008272B8" w14:paraId="73847C05" w14:textId="77777777" w:rsidTr="008272B8">
        <w:trPr>
          <w:trHeight w:val="456"/>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4DA335C"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Профессиональное образование</w:t>
            </w:r>
          </w:p>
        </w:tc>
        <w:tc>
          <w:tcPr>
            <w:tcW w:w="756" w:type="dxa"/>
            <w:tcBorders>
              <w:top w:val="nil"/>
              <w:left w:val="nil"/>
              <w:bottom w:val="single" w:sz="4" w:space="0" w:color="auto"/>
              <w:right w:val="single" w:sz="4" w:space="0" w:color="auto"/>
            </w:tcBorders>
            <w:shd w:val="clear" w:color="000000" w:fill="FFFFFF"/>
            <w:noWrap/>
            <w:vAlign w:val="center"/>
            <w:hideMark/>
          </w:tcPr>
          <w:p w14:paraId="01F13CFF"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10,1</w:t>
            </w:r>
          </w:p>
        </w:tc>
        <w:tc>
          <w:tcPr>
            <w:tcW w:w="756" w:type="dxa"/>
            <w:tcBorders>
              <w:top w:val="nil"/>
              <w:left w:val="nil"/>
              <w:bottom w:val="single" w:sz="4" w:space="0" w:color="auto"/>
              <w:right w:val="single" w:sz="4" w:space="0" w:color="auto"/>
            </w:tcBorders>
            <w:shd w:val="clear" w:color="000000" w:fill="FFFFFF"/>
            <w:noWrap/>
            <w:vAlign w:val="center"/>
            <w:hideMark/>
          </w:tcPr>
          <w:p w14:paraId="1EBDBDAF"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9,3</w:t>
            </w:r>
          </w:p>
        </w:tc>
        <w:tc>
          <w:tcPr>
            <w:tcW w:w="756" w:type="dxa"/>
            <w:tcBorders>
              <w:top w:val="nil"/>
              <w:left w:val="nil"/>
              <w:bottom w:val="single" w:sz="4" w:space="0" w:color="auto"/>
              <w:right w:val="single" w:sz="4" w:space="0" w:color="auto"/>
            </w:tcBorders>
            <w:shd w:val="clear" w:color="000000" w:fill="FFFFFF"/>
            <w:noWrap/>
            <w:vAlign w:val="center"/>
            <w:hideMark/>
          </w:tcPr>
          <w:p w14:paraId="70229B25"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10,0</w:t>
            </w:r>
          </w:p>
        </w:tc>
        <w:tc>
          <w:tcPr>
            <w:tcW w:w="756" w:type="dxa"/>
            <w:tcBorders>
              <w:top w:val="nil"/>
              <w:left w:val="nil"/>
              <w:bottom w:val="single" w:sz="4" w:space="0" w:color="auto"/>
              <w:right w:val="single" w:sz="4" w:space="0" w:color="auto"/>
            </w:tcBorders>
            <w:shd w:val="clear" w:color="000000" w:fill="FFFFFF"/>
            <w:noWrap/>
            <w:vAlign w:val="center"/>
            <w:hideMark/>
          </w:tcPr>
          <w:p w14:paraId="7AA6D09A"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10,0</w:t>
            </w:r>
          </w:p>
        </w:tc>
        <w:tc>
          <w:tcPr>
            <w:tcW w:w="756" w:type="dxa"/>
            <w:tcBorders>
              <w:top w:val="nil"/>
              <w:left w:val="nil"/>
              <w:bottom w:val="single" w:sz="4" w:space="0" w:color="auto"/>
              <w:right w:val="single" w:sz="4" w:space="0" w:color="auto"/>
            </w:tcBorders>
            <w:shd w:val="clear" w:color="000000" w:fill="FFFFFF"/>
            <w:noWrap/>
            <w:vAlign w:val="center"/>
            <w:hideMark/>
          </w:tcPr>
          <w:p w14:paraId="6C9D8F04"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8,3</w:t>
            </w:r>
          </w:p>
        </w:tc>
      </w:tr>
      <w:tr w:rsidR="00391E6A" w:rsidRPr="008272B8" w14:paraId="231A9D52" w14:textId="77777777" w:rsidTr="008272B8">
        <w:trPr>
          <w:trHeight w:val="696"/>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C96B77D"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Переподготовка и повышение квалификации</w:t>
            </w:r>
          </w:p>
        </w:tc>
        <w:tc>
          <w:tcPr>
            <w:tcW w:w="756" w:type="dxa"/>
            <w:tcBorders>
              <w:top w:val="nil"/>
              <w:left w:val="nil"/>
              <w:bottom w:val="single" w:sz="4" w:space="0" w:color="auto"/>
              <w:right w:val="single" w:sz="4" w:space="0" w:color="auto"/>
            </w:tcBorders>
            <w:shd w:val="clear" w:color="000000" w:fill="FFFFFF"/>
            <w:noWrap/>
            <w:vAlign w:val="center"/>
            <w:hideMark/>
          </w:tcPr>
          <w:p w14:paraId="7D0A10FF"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6,4</w:t>
            </w:r>
          </w:p>
        </w:tc>
        <w:tc>
          <w:tcPr>
            <w:tcW w:w="756" w:type="dxa"/>
            <w:tcBorders>
              <w:top w:val="nil"/>
              <w:left w:val="nil"/>
              <w:bottom w:val="single" w:sz="4" w:space="0" w:color="auto"/>
              <w:right w:val="single" w:sz="4" w:space="0" w:color="auto"/>
            </w:tcBorders>
            <w:shd w:val="clear" w:color="000000" w:fill="FFFFFF"/>
            <w:noWrap/>
            <w:vAlign w:val="center"/>
            <w:hideMark/>
          </w:tcPr>
          <w:p w14:paraId="063AF7A2"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6,8</w:t>
            </w:r>
          </w:p>
        </w:tc>
        <w:tc>
          <w:tcPr>
            <w:tcW w:w="756" w:type="dxa"/>
            <w:tcBorders>
              <w:top w:val="nil"/>
              <w:left w:val="nil"/>
              <w:bottom w:val="single" w:sz="4" w:space="0" w:color="auto"/>
              <w:right w:val="single" w:sz="4" w:space="0" w:color="auto"/>
            </w:tcBorders>
            <w:shd w:val="clear" w:color="000000" w:fill="FFFFFF"/>
            <w:noWrap/>
            <w:vAlign w:val="center"/>
            <w:hideMark/>
          </w:tcPr>
          <w:p w14:paraId="1F3AB208"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8,1</w:t>
            </w:r>
          </w:p>
        </w:tc>
        <w:tc>
          <w:tcPr>
            <w:tcW w:w="756" w:type="dxa"/>
            <w:tcBorders>
              <w:top w:val="nil"/>
              <w:left w:val="nil"/>
              <w:bottom w:val="single" w:sz="4" w:space="0" w:color="auto"/>
              <w:right w:val="single" w:sz="4" w:space="0" w:color="auto"/>
            </w:tcBorders>
            <w:shd w:val="clear" w:color="000000" w:fill="FFFFFF"/>
            <w:noWrap/>
            <w:vAlign w:val="center"/>
            <w:hideMark/>
          </w:tcPr>
          <w:p w14:paraId="29CCAEE1"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7,6</w:t>
            </w:r>
          </w:p>
        </w:tc>
        <w:tc>
          <w:tcPr>
            <w:tcW w:w="756" w:type="dxa"/>
            <w:tcBorders>
              <w:top w:val="nil"/>
              <w:left w:val="nil"/>
              <w:bottom w:val="single" w:sz="4" w:space="0" w:color="auto"/>
              <w:right w:val="single" w:sz="4" w:space="0" w:color="auto"/>
            </w:tcBorders>
            <w:shd w:val="clear" w:color="000000" w:fill="FFFFFF"/>
            <w:noWrap/>
            <w:vAlign w:val="center"/>
            <w:hideMark/>
          </w:tcPr>
          <w:p w14:paraId="2C5DBCA4"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7,6</w:t>
            </w:r>
          </w:p>
        </w:tc>
      </w:tr>
      <w:tr w:rsidR="00391E6A" w:rsidRPr="008272B8" w14:paraId="5EE31A05" w14:textId="77777777" w:rsidTr="008272B8">
        <w:trPr>
          <w:trHeight w:val="600"/>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F12200A"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Высшее профессиональное образование</w:t>
            </w:r>
          </w:p>
        </w:tc>
        <w:tc>
          <w:tcPr>
            <w:tcW w:w="756" w:type="dxa"/>
            <w:tcBorders>
              <w:top w:val="nil"/>
              <w:left w:val="nil"/>
              <w:bottom w:val="single" w:sz="4" w:space="0" w:color="auto"/>
              <w:right w:val="single" w:sz="4" w:space="0" w:color="auto"/>
            </w:tcBorders>
            <w:shd w:val="clear" w:color="000000" w:fill="FFFFFF"/>
            <w:noWrap/>
            <w:vAlign w:val="center"/>
            <w:hideMark/>
          </w:tcPr>
          <w:p w14:paraId="056403E4"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448,1</w:t>
            </w:r>
          </w:p>
        </w:tc>
        <w:tc>
          <w:tcPr>
            <w:tcW w:w="756" w:type="dxa"/>
            <w:tcBorders>
              <w:top w:val="nil"/>
              <w:left w:val="nil"/>
              <w:bottom w:val="single" w:sz="4" w:space="0" w:color="auto"/>
              <w:right w:val="single" w:sz="4" w:space="0" w:color="auto"/>
            </w:tcBorders>
            <w:shd w:val="clear" w:color="000000" w:fill="FFFFFF"/>
            <w:noWrap/>
            <w:vAlign w:val="center"/>
            <w:hideMark/>
          </w:tcPr>
          <w:p w14:paraId="68F5F6A7"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495,6</w:t>
            </w:r>
          </w:p>
        </w:tc>
        <w:tc>
          <w:tcPr>
            <w:tcW w:w="756" w:type="dxa"/>
            <w:tcBorders>
              <w:top w:val="nil"/>
              <w:left w:val="nil"/>
              <w:bottom w:val="single" w:sz="4" w:space="0" w:color="auto"/>
              <w:right w:val="single" w:sz="4" w:space="0" w:color="auto"/>
            </w:tcBorders>
            <w:shd w:val="clear" w:color="000000" w:fill="FFFFFF"/>
            <w:noWrap/>
            <w:vAlign w:val="center"/>
            <w:hideMark/>
          </w:tcPr>
          <w:p w14:paraId="3F0440AE"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498,2</w:t>
            </w:r>
          </w:p>
        </w:tc>
        <w:tc>
          <w:tcPr>
            <w:tcW w:w="756" w:type="dxa"/>
            <w:tcBorders>
              <w:top w:val="nil"/>
              <w:left w:val="nil"/>
              <w:bottom w:val="single" w:sz="4" w:space="0" w:color="auto"/>
              <w:right w:val="single" w:sz="4" w:space="0" w:color="auto"/>
            </w:tcBorders>
            <w:shd w:val="clear" w:color="000000" w:fill="FFFFFF"/>
            <w:noWrap/>
            <w:vAlign w:val="center"/>
            <w:hideMark/>
          </w:tcPr>
          <w:p w14:paraId="21322F26"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517,0</w:t>
            </w:r>
          </w:p>
        </w:tc>
        <w:tc>
          <w:tcPr>
            <w:tcW w:w="756" w:type="dxa"/>
            <w:tcBorders>
              <w:top w:val="nil"/>
              <w:left w:val="nil"/>
              <w:bottom w:val="single" w:sz="4" w:space="0" w:color="auto"/>
              <w:right w:val="single" w:sz="4" w:space="0" w:color="auto"/>
            </w:tcBorders>
            <w:shd w:val="clear" w:color="000000" w:fill="FFFFFF"/>
            <w:noWrap/>
            <w:vAlign w:val="center"/>
            <w:hideMark/>
          </w:tcPr>
          <w:p w14:paraId="1D4799C7"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504,0</w:t>
            </w:r>
          </w:p>
        </w:tc>
      </w:tr>
      <w:tr w:rsidR="00391E6A" w:rsidRPr="008272B8" w14:paraId="38B76956" w14:textId="77777777" w:rsidTr="008272B8">
        <w:trPr>
          <w:trHeight w:val="744"/>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96A0A88"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Молодежная политика и оздоровление детей</w:t>
            </w:r>
          </w:p>
        </w:tc>
        <w:tc>
          <w:tcPr>
            <w:tcW w:w="756" w:type="dxa"/>
            <w:tcBorders>
              <w:top w:val="nil"/>
              <w:left w:val="nil"/>
              <w:bottom w:val="single" w:sz="4" w:space="0" w:color="auto"/>
              <w:right w:val="single" w:sz="4" w:space="0" w:color="auto"/>
            </w:tcBorders>
            <w:shd w:val="clear" w:color="000000" w:fill="FFFFFF"/>
            <w:noWrap/>
            <w:vAlign w:val="center"/>
            <w:hideMark/>
          </w:tcPr>
          <w:p w14:paraId="0422DFA6"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5,4</w:t>
            </w:r>
          </w:p>
        </w:tc>
        <w:tc>
          <w:tcPr>
            <w:tcW w:w="756" w:type="dxa"/>
            <w:tcBorders>
              <w:top w:val="nil"/>
              <w:left w:val="nil"/>
              <w:bottom w:val="single" w:sz="4" w:space="0" w:color="auto"/>
              <w:right w:val="single" w:sz="4" w:space="0" w:color="auto"/>
            </w:tcBorders>
            <w:shd w:val="clear" w:color="000000" w:fill="FFFFFF"/>
            <w:noWrap/>
            <w:vAlign w:val="center"/>
            <w:hideMark/>
          </w:tcPr>
          <w:p w14:paraId="48EA876B"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5,6</w:t>
            </w:r>
          </w:p>
        </w:tc>
        <w:tc>
          <w:tcPr>
            <w:tcW w:w="756" w:type="dxa"/>
            <w:tcBorders>
              <w:top w:val="nil"/>
              <w:left w:val="nil"/>
              <w:bottom w:val="single" w:sz="4" w:space="0" w:color="auto"/>
              <w:right w:val="single" w:sz="4" w:space="0" w:color="auto"/>
            </w:tcBorders>
            <w:shd w:val="clear" w:color="000000" w:fill="FFFFFF"/>
            <w:noWrap/>
            <w:vAlign w:val="center"/>
            <w:hideMark/>
          </w:tcPr>
          <w:p w14:paraId="685A02D6"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7,3</w:t>
            </w:r>
          </w:p>
        </w:tc>
        <w:tc>
          <w:tcPr>
            <w:tcW w:w="756" w:type="dxa"/>
            <w:tcBorders>
              <w:top w:val="nil"/>
              <w:left w:val="nil"/>
              <w:bottom w:val="single" w:sz="4" w:space="0" w:color="auto"/>
              <w:right w:val="single" w:sz="4" w:space="0" w:color="auto"/>
            </w:tcBorders>
            <w:shd w:val="clear" w:color="000000" w:fill="FFFFFF"/>
            <w:noWrap/>
            <w:vAlign w:val="center"/>
            <w:hideMark/>
          </w:tcPr>
          <w:p w14:paraId="602BCC51"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w:t>
            </w:r>
          </w:p>
        </w:tc>
        <w:tc>
          <w:tcPr>
            <w:tcW w:w="756" w:type="dxa"/>
            <w:tcBorders>
              <w:top w:val="nil"/>
              <w:left w:val="nil"/>
              <w:bottom w:val="single" w:sz="4" w:space="0" w:color="auto"/>
              <w:right w:val="single" w:sz="4" w:space="0" w:color="auto"/>
            </w:tcBorders>
            <w:shd w:val="clear" w:color="000000" w:fill="FFFFFF"/>
            <w:noWrap/>
            <w:vAlign w:val="center"/>
            <w:hideMark/>
          </w:tcPr>
          <w:p w14:paraId="0B4A33F1"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0,8</w:t>
            </w:r>
          </w:p>
        </w:tc>
      </w:tr>
      <w:tr w:rsidR="00391E6A" w:rsidRPr="008272B8" w14:paraId="72C99837" w14:textId="77777777" w:rsidTr="008272B8">
        <w:trPr>
          <w:trHeight w:val="948"/>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F50D857"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Прикладные</w:t>
            </w:r>
            <w:r w:rsidRPr="008272B8">
              <w:rPr>
                <w:rFonts w:ascii="Times New Roman" w:eastAsia="Times New Roman" w:hAnsi="Times New Roman" w:cs="Times New Roman"/>
                <w:color w:val="000000"/>
                <w:lang w:eastAsia="ru-RU"/>
              </w:rPr>
              <w:br/>
              <w:t xml:space="preserve"> научные исследования в области образования</w:t>
            </w:r>
          </w:p>
        </w:tc>
        <w:tc>
          <w:tcPr>
            <w:tcW w:w="756" w:type="dxa"/>
            <w:tcBorders>
              <w:top w:val="nil"/>
              <w:left w:val="nil"/>
              <w:bottom w:val="single" w:sz="4" w:space="0" w:color="auto"/>
              <w:right w:val="single" w:sz="4" w:space="0" w:color="auto"/>
            </w:tcBorders>
            <w:shd w:val="clear" w:color="000000" w:fill="FFFFFF"/>
            <w:noWrap/>
            <w:vAlign w:val="center"/>
            <w:hideMark/>
          </w:tcPr>
          <w:p w14:paraId="0B88621E"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13,6</w:t>
            </w:r>
          </w:p>
        </w:tc>
        <w:tc>
          <w:tcPr>
            <w:tcW w:w="756" w:type="dxa"/>
            <w:tcBorders>
              <w:top w:val="nil"/>
              <w:left w:val="nil"/>
              <w:bottom w:val="single" w:sz="4" w:space="0" w:color="auto"/>
              <w:right w:val="single" w:sz="4" w:space="0" w:color="auto"/>
            </w:tcBorders>
            <w:shd w:val="clear" w:color="000000" w:fill="FFFFFF"/>
            <w:noWrap/>
            <w:vAlign w:val="center"/>
            <w:hideMark/>
          </w:tcPr>
          <w:p w14:paraId="0A28CA94"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8,6</w:t>
            </w:r>
          </w:p>
        </w:tc>
        <w:tc>
          <w:tcPr>
            <w:tcW w:w="756" w:type="dxa"/>
            <w:tcBorders>
              <w:top w:val="nil"/>
              <w:left w:val="nil"/>
              <w:bottom w:val="single" w:sz="4" w:space="0" w:color="auto"/>
              <w:right w:val="single" w:sz="4" w:space="0" w:color="auto"/>
            </w:tcBorders>
            <w:shd w:val="clear" w:color="000000" w:fill="FFFFFF"/>
            <w:noWrap/>
            <w:vAlign w:val="center"/>
            <w:hideMark/>
          </w:tcPr>
          <w:p w14:paraId="59F053A6"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15,3</w:t>
            </w:r>
          </w:p>
        </w:tc>
        <w:tc>
          <w:tcPr>
            <w:tcW w:w="756" w:type="dxa"/>
            <w:tcBorders>
              <w:top w:val="nil"/>
              <w:left w:val="nil"/>
              <w:bottom w:val="single" w:sz="4" w:space="0" w:color="auto"/>
              <w:right w:val="single" w:sz="4" w:space="0" w:color="auto"/>
            </w:tcBorders>
            <w:shd w:val="clear" w:color="000000" w:fill="FFFFFF"/>
            <w:noWrap/>
            <w:vAlign w:val="center"/>
            <w:hideMark/>
          </w:tcPr>
          <w:p w14:paraId="73C5F6DF"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13,1</w:t>
            </w:r>
          </w:p>
        </w:tc>
        <w:tc>
          <w:tcPr>
            <w:tcW w:w="756" w:type="dxa"/>
            <w:tcBorders>
              <w:top w:val="nil"/>
              <w:left w:val="nil"/>
              <w:bottom w:val="single" w:sz="4" w:space="0" w:color="auto"/>
              <w:right w:val="single" w:sz="4" w:space="0" w:color="auto"/>
            </w:tcBorders>
            <w:shd w:val="clear" w:color="000000" w:fill="FFFFFF"/>
            <w:noWrap/>
            <w:vAlign w:val="center"/>
            <w:hideMark/>
          </w:tcPr>
          <w:p w14:paraId="0C9CB49D"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12,4</w:t>
            </w:r>
          </w:p>
        </w:tc>
      </w:tr>
      <w:tr w:rsidR="00391E6A" w:rsidRPr="008272B8" w14:paraId="2F2AC3A6" w14:textId="77777777" w:rsidTr="008272B8">
        <w:trPr>
          <w:trHeight w:val="708"/>
          <w:jc w:val="center"/>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AE16420" w14:textId="77777777" w:rsidR="00391E6A" w:rsidRPr="008272B8" w:rsidRDefault="00391E6A" w:rsidP="00AC385D">
            <w:pPr>
              <w:spacing w:after="0"/>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Другие вопросы в области образования</w:t>
            </w:r>
          </w:p>
        </w:tc>
        <w:tc>
          <w:tcPr>
            <w:tcW w:w="756" w:type="dxa"/>
            <w:tcBorders>
              <w:top w:val="nil"/>
              <w:left w:val="nil"/>
              <w:bottom w:val="single" w:sz="4" w:space="0" w:color="auto"/>
              <w:right w:val="single" w:sz="4" w:space="0" w:color="auto"/>
            </w:tcBorders>
            <w:shd w:val="clear" w:color="000000" w:fill="FFFFFF"/>
            <w:noWrap/>
            <w:vAlign w:val="center"/>
            <w:hideMark/>
          </w:tcPr>
          <w:p w14:paraId="73CAFA10"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23,7</w:t>
            </w:r>
          </w:p>
        </w:tc>
        <w:tc>
          <w:tcPr>
            <w:tcW w:w="756" w:type="dxa"/>
            <w:tcBorders>
              <w:top w:val="nil"/>
              <w:left w:val="nil"/>
              <w:bottom w:val="single" w:sz="4" w:space="0" w:color="auto"/>
              <w:right w:val="single" w:sz="4" w:space="0" w:color="auto"/>
            </w:tcBorders>
            <w:shd w:val="clear" w:color="000000" w:fill="FFFFFF"/>
            <w:noWrap/>
            <w:vAlign w:val="center"/>
            <w:hideMark/>
          </w:tcPr>
          <w:p w14:paraId="4CE81ADE"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21,6</w:t>
            </w:r>
          </w:p>
        </w:tc>
        <w:tc>
          <w:tcPr>
            <w:tcW w:w="756" w:type="dxa"/>
            <w:tcBorders>
              <w:top w:val="nil"/>
              <w:left w:val="nil"/>
              <w:bottom w:val="single" w:sz="4" w:space="0" w:color="auto"/>
              <w:right w:val="single" w:sz="4" w:space="0" w:color="auto"/>
            </w:tcBorders>
            <w:shd w:val="clear" w:color="000000" w:fill="FFFFFF"/>
            <w:noWrap/>
            <w:vAlign w:val="center"/>
            <w:hideMark/>
          </w:tcPr>
          <w:p w14:paraId="7F5B9594"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13,4</w:t>
            </w:r>
          </w:p>
        </w:tc>
        <w:tc>
          <w:tcPr>
            <w:tcW w:w="756" w:type="dxa"/>
            <w:tcBorders>
              <w:top w:val="nil"/>
              <w:left w:val="nil"/>
              <w:bottom w:val="single" w:sz="4" w:space="0" w:color="auto"/>
              <w:right w:val="single" w:sz="4" w:space="0" w:color="auto"/>
            </w:tcBorders>
            <w:shd w:val="clear" w:color="000000" w:fill="FFFFFF"/>
            <w:noWrap/>
            <w:vAlign w:val="center"/>
            <w:hideMark/>
          </w:tcPr>
          <w:p w14:paraId="77865449"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9,5</w:t>
            </w:r>
          </w:p>
        </w:tc>
        <w:tc>
          <w:tcPr>
            <w:tcW w:w="756" w:type="dxa"/>
            <w:tcBorders>
              <w:top w:val="nil"/>
              <w:left w:val="nil"/>
              <w:bottom w:val="single" w:sz="4" w:space="0" w:color="auto"/>
              <w:right w:val="single" w:sz="4" w:space="0" w:color="auto"/>
            </w:tcBorders>
            <w:shd w:val="clear" w:color="000000" w:fill="FFFFFF"/>
            <w:noWrap/>
            <w:vAlign w:val="center"/>
            <w:hideMark/>
          </w:tcPr>
          <w:p w14:paraId="775C68BB" w14:textId="77777777" w:rsidR="00391E6A" w:rsidRPr="008272B8" w:rsidRDefault="00391E6A" w:rsidP="00AC385D">
            <w:pPr>
              <w:spacing w:after="0"/>
              <w:jc w:val="center"/>
              <w:rPr>
                <w:rFonts w:ascii="Times New Roman" w:eastAsia="Times New Roman" w:hAnsi="Times New Roman" w:cs="Times New Roman"/>
                <w:color w:val="000000"/>
                <w:lang w:eastAsia="ru-RU"/>
              </w:rPr>
            </w:pPr>
            <w:r w:rsidRPr="008272B8">
              <w:rPr>
                <w:rFonts w:ascii="Times New Roman" w:eastAsia="Times New Roman" w:hAnsi="Times New Roman" w:cs="Times New Roman"/>
                <w:color w:val="000000"/>
                <w:lang w:eastAsia="ru-RU"/>
              </w:rPr>
              <w:t>12,4</w:t>
            </w:r>
          </w:p>
        </w:tc>
      </w:tr>
    </w:tbl>
    <w:p w14:paraId="16A07892" w14:textId="77777777" w:rsidR="00391E6A" w:rsidRPr="008272B8" w:rsidRDefault="00365A92" w:rsidP="008272B8">
      <w:pPr>
        <w:pStyle w:val="2"/>
        <w:spacing w:line="276" w:lineRule="auto"/>
        <w:jc w:val="center"/>
        <w:rPr>
          <w:rFonts w:ascii="Times New Roman" w:hAnsi="Times New Roman"/>
          <w:sz w:val="22"/>
          <w:szCs w:val="22"/>
        </w:rPr>
      </w:pPr>
      <w:r w:rsidRPr="008272B8">
        <w:rPr>
          <w:rFonts w:ascii="Times New Roman" w:hAnsi="Times New Roman"/>
          <w:i/>
          <w:sz w:val="22"/>
          <w:szCs w:val="22"/>
        </w:rPr>
        <w:t>Источник:</w:t>
      </w:r>
      <w:r w:rsidRPr="008272B8">
        <w:rPr>
          <w:rFonts w:ascii="Times New Roman" w:hAnsi="Times New Roman"/>
          <w:sz w:val="22"/>
          <w:szCs w:val="22"/>
        </w:rPr>
        <w:t xml:space="preserve"> Минфин России</w:t>
      </w:r>
    </w:p>
    <w:p w14:paraId="253E3489" w14:textId="77777777" w:rsidR="004E7AF7" w:rsidRPr="008272B8" w:rsidRDefault="004E7AF7" w:rsidP="008272B8">
      <w:pPr>
        <w:jc w:val="center"/>
        <w:rPr>
          <w:rFonts w:ascii="Times New Roman" w:hAnsi="Times New Roman" w:cs="Times New Roman"/>
        </w:rPr>
      </w:pPr>
      <w:r w:rsidRPr="008272B8">
        <w:rPr>
          <w:rFonts w:ascii="Times New Roman" w:hAnsi="Times New Roman" w:cs="Times New Roman"/>
          <w:i/>
        </w:rPr>
        <w:t>Примечание:</w:t>
      </w:r>
      <w:r w:rsidRPr="008272B8">
        <w:rPr>
          <w:rFonts w:ascii="Times New Roman" w:hAnsi="Times New Roman" w:cs="Times New Roman"/>
        </w:rPr>
        <w:t xml:space="preserve"> Данные за 2015 год приведены в соответствии с уточненной бюджетной росписью.</w:t>
      </w:r>
    </w:p>
    <w:p w14:paraId="5E7227C9" w14:textId="77777777" w:rsidR="00365A92" w:rsidRPr="00AC385D" w:rsidRDefault="00365A92"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t xml:space="preserve">Расходы на здравоохранение в проекте бюджета на 2016 год по сравнению с 2015 годом сокращаются на 8%. </w:t>
      </w:r>
      <w:r w:rsidR="00A6198C" w:rsidRPr="00AC385D">
        <w:rPr>
          <w:rFonts w:ascii="Times New Roman" w:hAnsi="Times New Roman"/>
          <w:sz w:val="26"/>
          <w:szCs w:val="26"/>
        </w:rPr>
        <w:t>Д</w:t>
      </w:r>
      <w:r w:rsidRPr="00AC385D">
        <w:rPr>
          <w:rFonts w:ascii="Times New Roman" w:hAnsi="Times New Roman"/>
          <w:sz w:val="26"/>
          <w:szCs w:val="26"/>
        </w:rPr>
        <w:t xml:space="preserve">елать выводы о сокращении бюджетного финансирования здравоохранения на основе только этих данных не вполне правомерно, поскольку здравоохранение финансируется преимущественно из фондов ОМС, а также с регионального бюджетного уровня. </w:t>
      </w:r>
      <w:r w:rsidR="004E7AF7" w:rsidRPr="00AC385D">
        <w:rPr>
          <w:rFonts w:ascii="Times New Roman" w:hAnsi="Times New Roman"/>
          <w:sz w:val="26"/>
          <w:szCs w:val="26"/>
        </w:rPr>
        <w:t>Д</w:t>
      </w:r>
      <w:r w:rsidRPr="00AC385D">
        <w:rPr>
          <w:rFonts w:ascii="Times New Roman" w:hAnsi="Times New Roman"/>
          <w:sz w:val="26"/>
          <w:szCs w:val="26"/>
        </w:rPr>
        <w:t>ля всеобъемлющей оценки</w:t>
      </w:r>
      <w:r w:rsidR="004E7AF7" w:rsidRPr="00AC385D">
        <w:rPr>
          <w:rFonts w:ascii="Times New Roman" w:hAnsi="Times New Roman"/>
          <w:sz w:val="26"/>
          <w:szCs w:val="26"/>
        </w:rPr>
        <w:t xml:space="preserve"> ожидаемых бюджетных </w:t>
      </w:r>
      <w:r w:rsidRPr="00AC385D">
        <w:rPr>
          <w:rFonts w:ascii="Times New Roman" w:hAnsi="Times New Roman"/>
          <w:sz w:val="26"/>
          <w:szCs w:val="26"/>
        </w:rPr>
        <w:t xml:space="preserve">затрат на здравоохранение в 2016 году были использованы скорректированные данные ОНБП на 2016-2018 годы, с учетом того, что предпосылки построения бюджета существенно изменились. </w:t>
      </w:r>
    </w:p>
    <w:p w14:paraId="5C6D36D0" w14:textId="77777777" w:rsidR="00365A92" w:rsidRPr="00AC385D" w:rsidRDefault="00365A92" w:rsidP="00F0072A">
      <w:pPr>
        <w:jc w:val="center"/>
        <w:rPr>
          <w:rFonts w:ascii="Times New Roman" w:hAnsi="Times New Roman" w:cs="Times New Roman"/>
          <w:sz w:val="26"/>
          <w:szCs w:val="26"/>
        </w:rPr>
      </w:pPr>
      <w:r w:rsidRPr="00AC385D">
        <w:rPr>
          <w:rFonts w:ascii="Times New Roman" w:hAnsi="Times New Roman" w:cs="Times New Roman"/>
          <w:b/>
          <w:bCs/>
          <w:spacing w:val="-4"/>
          <w:sz w:val="26"/>
          <w:szCs w:val="26"/>
        </w:rPr>
        <w:t xml:space="preserve">Рис. 2. Динамика объема расходов федерального бюджета на высшее образование </w:t>
      </w:r>
      <w:r w:rsidR="006D7C03" w:rsidRPr="00AC385D">
        <w:rPr>
          <w:rFonts w:ascii="Times New Roman" w:hAnsi="Times New Roman" w:cs="Times New Roman"/>
          <w:b/>
          <w:bCs/>
          <w:spacing w:val="-4"/>
          <w:sz w:val="26"/>
          <w:szCs w:val="26"/>
        </w:rPr>
        <w:t xml:space="preserve">в неизменных ценах </w:t>
      </w:r>
      <w:r w:rsidRPr="00AC385D">
        <w:rPr>
          <w:rFonts w:ascii="Times New Roman" w:hAnsi="Times New Roman" w:cs="Times New Roman"/>
          <w:b/>
          <w:bCs/>
          <w:spacing w:val="-4"/>
          <w:sz w:val="26"/>
          <w:szCs w:val="26"/>
        </w:rPr>
        <w:t>(2012 год =100%)</w:t>
      </w:r>
    </w:p>
    <w:p w14:paraId="64DCBFDF" w14:textId="77777777" w:rsidR="00365A92" w:rsidRPr="00AC385D" w:rsidRDefault="00365A92" w:rsidP="00F0072A">
      <w:pPr>
        <w:pStyle w:val="2"/>
        <w:spacing w:line="276" w:lineRule="auto"/>
        <w:jc w:val="center"/>
        <w:rPr>
          <w:rFonts w:ascii="Times New Roman" w:hAnsi="Times New Roman"/>
          <w:sz w:val="26"/>
          <w:szCs w:val="26"/>
        </w:rPr>
      </w:pPr>
      <w:r w:rsidRPr="00AC385D">
        <w:rPr>
          <w:rFonts w:ascii="Times New Roman" w:hAnsi="Times New Roman"/>
          <w:noProof/>
          <w:sz w:val="26"/>
          <w:szCs w:val="26"/>
          <w:lang w:eastAsia="ru-RU"/>
        </w:rPr>
        <w:drawing>
          <wp:inline distT="0" distB="0" distL="0" distR="0" wp14:anchorId="155AC065" wp14:editId="55939F28">
            <wp:extent cx="3362960" cy="2509520"/>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5500" cy="2511415"/>
                    </a:xfrm>
                    <a:prstGeom prst="rect">
                      <a:avLst/>
                    </a:prstGeom>
                    <a:noFill/>
                  </pic:spPr>
                </pic:pic>
              </a:graphicData>
            </a:graphic>
          </wp:inline>
        </w:drawing>
      </w:r>
    </w:p>
    <w:p w14:paraId="03B9C6F3" w14:textId="77777777" w:rsidR="00365A92" w:rsidRPr="00F0072A" w:rsidRDefault="00365A92" w:rsidP="00F0072A">
      <w:pPr>
        <w:jc w:val="center"/>
        <w:rPr>
          <w:rFonts w:ascii="Times New Roman" w:hAnsi="Times New Roman" w:cs="Times New Roman"/>
        </w:rPr>
      </w:pPr>
      <w:r w:rsidRPr="00F0072A">
        <w:rPr>
          <w:rFonts w:ascii="Times New Roman" w:hAnsi="Times New Roman" w:cs="Times New Roman"/>
          <w:i/>
        </w:rPr>
        <w:t>Источник:</w:t>
      </w:r>
      <w:r w:rsidRPr="00F0072A">
        <w:rPr>
          <w:rFonts w:ascii="Times New Roman" w:hAnsi="Times New Roman" w:cs="Times New Roman"/>
        </w:rPr>
        <w:t xml:space="preserve"> Минфин России, расчёты Института «Центр развития» НИУ ВШЭ.</w:t>
      </w:r>
    </w:p>
    <w:p w14:paraId="09121233" w14:textId="77777777" w:rsidR="00365A92" w:rsidRPr="00AC385D" w:rsidRDefault="004E7AF7" w:rsidP="00AC385D">
      <w:pPr>
        <w:pStyle w:val="2"/>
        <w:spacing w:line="276" w:lineRule="auto"/>
        <w:ind w:firstLine="709"/>
        <w:rPr>
          <w:rFonts w:ascii="Times New Roman" w:hAnsi="Times New Roman"/>
          <w:sz w:val="26"/>
          <w:szCs w:val="26"/>
        </w:rPr>
      </w:pPr>
      <w:r w:rsidRPr="00AC385D">
        <w:rPr>
          <w:rFonts w:ascii="Times New Roman" w:hAnsi="Times New Roman"/>
          <w:sz w:val="26"/>
          <w:szCs w:val="26"/>
        </w:rPr>
        <w:lastRenderedPageBreak/>
        <w:t xml:space="preserve">С </w:t>
      </w:r>
      <w:r w:rsidR="00365A92" w:rsidRPr="00AC385D">
        <w:rPr>
          <w:rFonts w:ascii="Times New Roman" w:hAnsi="Times New Roman"/>
          <w:sz w:val="26"/>
          <w:szCs w:val="26"/>
        </w:rPr>
        <w:t xml:space="preserve">учетом </w:t>
      </w:r>
      <w:r w:rsidRPr="00AC385D">
        <w:rPr>
          <w:rFonts w:ascii="Times New Roman" w:hAnsi="Times New Roman"/>
          <w:sz w:val="26"/>
          <w:szCs w:val="26"/>
        </w:rPr>
        <w:t xml:space="preserve">вышеупомянутой </w:t>
      </w:r>
      <w:r w:rsidR="00365A92" w:rsidRPr="00AC385D">
        <w:rPr>
          <w:rFonts w:ascii="Times New Roman" w:hAnsi="Times New Roman"/>
          <w:sz w:val="26"/>
          <w:szCs w:val="26"/>
        </w:rPr>
        <w:t>корректировки, были сделаны</w:t>
      </w:r>
      <w:r w:rsidRPr="00AC385D">
        <w:rPr>
          <w:rFonts w:ascii="Times New Roman" w:hAnsi="Times New Roman"/>
          <w:sz w:val="26"/>
          <w:szCs w:val="26"/>
        </w:rPr>
        <w:t xml:space="preserve"> также</w:t>
      </w:r>
      <w:r w:rsidR="00365A92" w:rsidRPr="00AC385D">
        <w:rPr>
          <w:rFonts w:ascii="Times New Roman" w:hAnsi="Times New Roman"/>
          <w:sz w:val="26"/>
          <w:szCs w:val="26"/>
        </w:rPr>
        <w:t xml:space="preserve"> оценки</w:t>
      </w:r>
      <w:r w:rsidRPr="00AC385D">
        <w:rPr>
          <w:rFonts w:ascii="Times New Roman" w:hAnsi="Times New Roman"/>
          <w:sz w:val="26"/>
          <w:szCs w:val="26"/>
        </w:rPr>
        <w:t xml:space="preserve"> расходов</w:t>
      </w:r>
      <w:r w:rsidR="00365A92" w:rsidRPr="00AC385D">
        <w:rPr>
          <w:rFonts w:ascii="Times New Roman" w:hAnsi="Times New Roman"/>
          <w:sz w:val="26"/>
          <w:szCs w:val="26"/>
        </w:rPr>
        <w:t xml:space="preserve"> расширенного правительства на 2016 год </w:t>
      </w:r>
      <w:r w:rsidRPr="00AC385D">
        <w:rPr>
          <w:rFonts w:ascii="Times New Roman" w:hAnsi="Times New Roman"/>
          <w:sz w:val="26"/>
          <w:szCs w:val="26"/>
        </w:rPr>
        <w:t>на</w:t>
      </w:r>
      <w:r w:rsidR="00365A92" w:rsidRPr="00AC385D">
        <w:rPr>
          <w:rFonts w:ascii="Times New Roman" w:hAnsi="Times New Roman"/>
          <w:sz w:val="26"/>
          <w:szCs w:val="26"/>
        </w:rPr>
        <w:t xml:space="preserve"> образовани</w:t>
      </w:r>
      <w:r w:rsidRPr="00AC385D">
        <w:rPr>
          <w:rFonts w:ascii="Times New Roman" w:hAnsi="Times New Roman"/>
          <w:sz w:val="26"/>
          <w:szCs w:val="26"/>
        </w:rPr>
        <w:t>е</w:t>
      </w:r>
      <w:r w:rsidR="00365A92" w:rsidRPr="00AC385D">
        <w:rPr>
          <w:rFonts w:ascii="Times New Roman" w:hAnsi="Times New Roman"/>
          <w:sz w:val="26"/>
          <w:szCs w:val="26"/>
        </w:rPr>
        <w:t xml:space="preserve"> и социальн</w:t>
      </w:r>
      <w:r w:rsidRPr="00AC385D">
        <w:rPr>
          <w:rFonts w:ascii="Times New Roman" w:hAnsi="Times New Roman"/>
          <w:sz w:val="26"/>
          <w:szCs w:val="26"/>
        </w:rPr>
        <w:t>ую</w:t>
      </w:r>
      <w:r w:rsidR="00365A92" w:rsidRPr="00AC385D">
        <w:rPr>
          <w:rFonts w:ascii="Times New Roman" w:hAnsi="Times New Roman"/>
          <w:sz w:val="26"/>
          <w:szCs w:val="26"/>
        </w:rPr>
        <w:t xml:space="preserve"> политик</w:t>
      </w:r>
      <w:r w:rsidRPr="00AC385D">
        <w:rPr>
          <w:rFonts w:ascii="Times New Roman" w:hAnsi="Times New Roman"/>
          <w:sz w:val="26"/>
          <w:szCs w:val="26"/>
        </w:rPr>
        <w:t>у</w:t>
      </w:r>
      <w:r w:rsidR="00365A92" w:rsidRPr="00AC385D">
        <w:rPr>
          <w:rFonts w:ascii="Times New Roman" w:hAnsi="Times New Roman"/>
          <w:sz w:val="26"/>
          <w:szCs w:val="26"/>
        </w:rPr>
        <w:t xml:space="preserve"> и рассчитана динамика этих расходов в неизменных ценах с 2012 года. Результаты расчетов представлены на Рис. 3. В соответствии с нашими оценками, в 2016 году в неизменных ценах расходы на образование из бюджетов всех уровней сократятся, по сравнению с 2012 годом на 14%, расходы на здравоохранение – </w:t>
      </w:r>
      <w:r w:rsidR="00365A92" w:rsidRPr="00AC385D">
        <w:rPr>
          <w:rFonts w:ascii="Times New Roman" w:hAnsi="Times New Roman"/>
          <w:b/>
          <w:sz w:val="26"/>
          <w:szCs w:val="26"/>
        </w:rPr>
        <w:t>почти на 20%</w:t>
      </w:r>
      <w:r w:rsidR="00365A92" w:rsidRPr="00AC385D">
        <w:rPr>
          <w:rFonts w:ascii="Times New Roman" w:hAnsi="Times New Roman"/>
          <w:sz w:val="26"/>
          <w:szCs w:val="26"/>
        </w:rPr>
        <w:t>.</w:t>
      </w:r>
    </w:p>
    <w:p w14:paraId="1550F1AB" w14:textId="77777777" w:rsidR="009D6BC7" w:rsidRPr="00AC385D" w:rsidRDefault="009D6BC7" w:rsidP="00F0072A">
      <w:pPr>
        <w:jc w:val="center"/>
        <w:rPr>
          <w:rFonts w:ascii="Times New Roman" w:hAnsi="Times New Roman" w:cs="Times New Roman"/>
          <w:b/>
          <w:bCs/>
          <w:spacing w:val="-4"/>
          <w:sz w:val="26"/>
          <w:szCs w:val="26"/>
        </w:rPr>
      </w:pPr>
      <w:r w:rsidRPr="00AC385D">
        <w:rPr>
          <w:rFonts w:ascii="Times New Roman" w:hAnsi="Times New Roman" w:cs="Times New Roman"/>
          <w:b/>
          <w:bCs/>
          <w:spacing w:val="-4"/>
          <w:sz w:val="26"/>
          <w:szCs w:val="26"/>
        </w:rPr>
        <w:t>Рис. 3. Динамика объема расходов бюджетной системы (БС) в целом, расходов на образование, здравоохранение, социальную политику (2012 год =100%)</w:t>
      </w:r>
    </w:p>
    <w:p w14:paraId="5D53D701" w14:textId="77777777" w:rsidR="005E6F74" w:rsidRPr="00AC385D" w:rsidRDefault="009D6BC7" w:rsidP="00F0072A">
      <w:pPr>
        <w:pStyle w:val="2"/>
        <w:spacing w:line="276" w:lineRule="auto"/>
        <w:jc w:val="center"/>
        <w:rPr>
          <w:rFonts w:ascii="Times New Roman" w:hAnsi="Times New Roman"/>
          <w:sz w:val="26"/>
          <w:szCs w:val="26"/>
        </w:rPr>
      </w:pPr>
      <w:r w:rsidRPr="00AC385D">
        <w:rPr>
          <w:rFonts w:ascii="Times New Roman" w:hAnsi="Times New Roman"/>
          <w:noProof/>
          <w:sz w:val="26"/>
          <w:szCs w:val="26"/>
          <w:lang w:eastAsia="ru-RU"/>
        </w:rPr>
        <w:drawing>
          <wp:inline distT="0" distB="0" distL="0" distR="0" wp14:anchorId="1B4DB1C7" wp14:editId="0EA9D685">
            <wp:extent cx="4287520" cy="26111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1965" cy="2613827"/>
                    </a:xfrm>
                    <a:prstGeom prst="rect">
                      <a:avLst/>
                    </a:prstGeom>
                    <a:noFill/>
                  </pic:spPr>
                </pic:pic>
              </a:graphicData>
            </a:graphic>
          </wp:inline>
        </w:drawing>
      </w:r>
    </w:p>
    <w:p w14:paraId="746C2FCE" w14:textId="77777777" w:rsidR="009D6BC7" w:rsidRPr="00F0072A" w:rsidRDefault="009D6BC7" w:rsidP="00F0072A">
      <w:pPr>
        <w:jc w:val="center"/>
        <w:rPr>
          <w:rFonts w:ascii="Times New Roman" w:hAnsi="Times New Roman" w:cs="Times New Roman"/>
        </w:rPr>
      </w:pPr>
      <w:r w:rsidRPr="00F0072A">
        <w:rPr>
          <w:rFonts w:ascii="Times New Roman" w:hAnsi="Times New Roman" w:cs="Times New Roman"/>
          <w:i/>
        </w:rPr>
        <w:t>Источник:</w:t>
      </w:r>
      <w:r w:rsidRPr="00F0072A">
        <w:rPr>
          <w:rFonts w:ascii="Times New Roman" w:hAnsi="Times New Roman" w:cs="Times New Roman"/>
        </w:rPr>
        <w:t xml:space="preserve"> Минфин России, расчёты Института «Центр развития» НИУ ВШЭ.</w:t>
      </w:r>
    </w:p>
    <w:p w14:paraId="7572E7FF" w14:textId="77777777" w:rsidR="004E7AF7" w:rsidRPr="00AC385D" w:rsidRDefault="004E7AF7"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 xml:space="preserve">Не первый год ухудшает </w:t>
      </w:r>
      <w:r w:rsidR="00F0072A">
        <w:rPr>
          <w:rFonts w:ascii="Times New Roman" w:hAnsi="Times New Roman" w:cs="Times New Roman"/>
          <w:sz w:val="26"/>
          <w:szCs w:val="26"/>
        </w:rPr>
        <w:t>«</w:t>
      </w:r>
      <w:r w:rsidRPr="00AC385D">
        <w:rPr>
          <w:rFonts w:ascii="Times New Roman" w:hAnsi="Times New Roman" w:cs="Times New Roman"/>
          <w:sz w:val="26"/>
          <w:szCs w:val="26"/>
        </w:rPr>
        <w:t>качество бюджета</w:t>
      </w:r>
      <w:r w:rsidR="00F0072A">
        <w:rPr>
          <w:rFonts w:ascii="Times New Roman" w:hAnsi="Times New Roman" w:cs="Times New Roman"/>
          <w:sz w:val="26"/>
          <w:szCs w:val="26"/>
        </w:rPr>
        <w:t>»</w:t>
      </w:r>
      <w:r w:rsidRPr="00AC385D">
        <w:rPr>
          <w:rFonts w:ascii="Times New Roman" w:hAnsi="Times New Roman" w:cs="Times New Roman"/>
          <w:sz w:val="26"/>
          <w:szCs w:val="26"/>
        </w:rPr>
        <w:t xml:space="preserve"> и рост доли секретных и непрозрачных расходов. Если в 2013–2015 гг. это происходило за счет опережающего увеличения затрат на силовой блок, то в бюджете 2016 года добавились дополнительные резервы на поддержку отраслей, социальную поддержку населения и гуманитарную помощь жителям других государств. Очевидно, что распределение этих сре</w:t>
      </w:r>
      <w:proofErr w:type="gramStart"/>
      <w:r w:rsidRPr="00AC385D">
        <w:rPr>
          <w:rFonts w:ascii="Times New Roman" w:hAnsi="Times New Roman" w:cs="Times New Roman"/>
          <w:sz w:val="26"/>
          <w:szCs w:val="26"/>
        </w:rPr>
        <w:t>дств пр</w:t>
      </w:r>
      <w:proofErr w:type="gramEnd"/>
      <w:r w:rsidRPr="00AC385D">
        <w:rPr>
          <w:rFonts w:ascii="Times New Roman" w:hAnsi="Times New Roman" w:cs="Times New Roman"/>
          <w:sz w:val="26"/>
          <w:szCs w:val="26"/>
        </w:rPr>
        <w:t xml:space="preserve">едполагается осуществлять в ручном режиме. Третьим направлением, которое может существенно ухудшить прозрачность расходования бюджетных средств, является предложение о засекречивании </w:t>
      </w:r>
      <w:proofErr w:type="spellStart"/>
      <w:r w:rsidRPr="00AC385D">
        <w:rPr>
          <w:rFonts w:ascii="Times New Roman" w:hAnsi="Times New Roman" w:cs="Times New Roman"/>
          <w:sz w:val="26"/>
          <w:szCs w:val="26"/>
        </w:rPr>
        <w:t>госзакупок</w:t>
      </w:r>
      <w:proofErr w:type="spellEnd"/>
      <w:r w:rsidRPr="00AC385D">
        <w:rPr>
          <w:rFonts w:ascii="Times New Roman" w:hAnsi="Times New Roman" w:cs="Times New Roman"/>
          <w:sz w:val="26"/>
          <w:szCs w:val="26"/>
        </w:rPr>
        <w:t xml:space="preserve"> силовых ведомств, осуществляющих оперативно-розыскную деятельность. Общий объем пока еще открытых </w:t>
      </w:r>
      <w:proofErr w:type="spellStart"/>
      <w:r w:rsidRPr="00AC385D">
        <w:rPr>
          <w:rFonts w:ascii="Times New Roman" w:hAnsi="Times New Roman" w:cs="Times New Roman"/>
          <w:sz w:val="26"/>
          <w:szCs w:val="26"/>
        </w:rPr>
        <w:t>госзакупок</w:t>
      </w:r>
      <w:proofErr w:type="spellEnd"/>
      <w:r w:rsidRPr="00AC385D">
        <w:rPr>
          <w:rFonts w:ascii="Times New Roman" w:hAnsi="Times New Roman" w:cs="Times New Roman"/>
          <w:sz w:val="26"/>
          <w:szCs w:val="26"/>
        </w:rPr>
        <w:t xml:space="preserve"> только по линии МВД в 2015 году согласно уточненной бюджетной росписи составит 114 млрд. руб.</w:t>
      </w:r>
    </w:p>
    <w:p w14:paraId="543B0CB5" w14:textId="77777777" w:rsidR="009D6BC7" w:rsidRPr="00AC385D" w:rsidRDefault="00B63432" w:rsidP="00AC385D">
      <w:pPr>
        <w:ind w:firstLine="709"/>
        <w:jc w:val="both"/>
        <w:rPr>
          <w:rFonts w:ascii="Times New Roman" w:hAnsi="Times New Roman" w:cs="Times New Roman"/>
          <w:sz w:val="26"/>
          <w:szCs w:val="26"/>
        </w:rPr>
      </w:pPr>
      <w:r w:rsidRPr="00AC385D">
        <w:rPr>
          <w:rFonts w:ascii="Times New Roman" w:hAnsi="Times New Roman" w:cs="Times New Roman"/>
          <w:sz w:val="26"/>
          <w:szCs w:val="26"/>
        </w:rPr>
        <w:t xml:space="preserve">Подводя </w:t>
      </w:r>
      <w:r w:rsidR="003F5452" w:rsidRPr="00AC385D">
        <w:rPr>
          <w:rFonts w:ascii="Times New Roman" w:hAnsi="Times New Roman" w:cs="Times New Roman"/>
          <w:sz w:val="26"/>
          <w:szCs w:val="26"/>
        </w:rPr>
        <w:t>итог</w:t>
      </w:r>
      <w:r w:rsidR="001F6DB4" w:rsidRPr="00AC385D">
        <w:rPr>
          <w:rFonts w:ascii="Times New Roman" w:hAnsi="Times New Roman" w:cs="Times New Roman"/>
          <w:sz w:val="26"/>
          <w:szCs w:val="26"/>
        </w:rPr>
        <w:t xml:space="preserve"> </w:t>
      </w:r>
      <w:r w:rsidR="00945C48">
        <w:rPr>
          <w:rFonts w:ascii="Times New Roman" w:hAnsi="Times New Roman" w:cs="Times New Roman"/>
          <w:sz w:val="26"/>
          <w:szCs w:val="26"/>
        </w:rPr>
        <w:t>данного</w:t>
      </w:r>
      <w:r w:rsidR="001F6DB4" w:rsidRPr="00AC385D">
        <w:rPr>
          <w:rFonts w:ascii="Times New Roman" w:hAnsi="Times New Roman" w:cs="Times New Roman"/>
          <w:sz w:val="26"/>
          <w:szCs w:val="26"/>
        </w:rPr>
        <w:t xml:space="preserve"> раздела</w:t>
      </w:r>
      <w:r w:rsidRPr="00AC385D">
        <w:rPr>
          <w:rFonts w:ascii="Times New Roman" w:hAnsi="Times New Roman" w:cs="Times New Roman"/>
          <w:sz w:val="26"/>
          <w:szCs w:val="26"/>
        </w:rPr>
        <w:t>, следует отметить, что</w:t>
      </w:r>
      <w:r w:rsidR="001F6DB4" w:rsidRPr="00AC385D">
        <w:rPr>
          <w:rFonts w:ascii="Times New Roman" w:hAnsi="Times New Roman" w:cs="Times New Roman"/>
          <w:sz w:val="26"/>
          <w:szCs w:val="26"/>
        </w:rPr>
        <w:t xml:space="preserve"> хотя</w:t>
      </w:r>
      <w:r w:rsidR="00AC385D" w:rsidRPr="00AC385D">
        <w:rPr>
          <w:rFonts w:ascii="Times New Roman" w:hAnsi="Times New Roman" w:cs="Times New Roman"/>
          <w:sz w:val="26"/>
          <w:szCs w:val="26"/>
        </w:rPr>
        <w:t xml:space="preserve"> </w:t>
      </w:r>
      <w:r w:rsidRPr="00AC385D">
        <w:rPr>
          <w:rFonts w:ascii="Times New Roman" w:hAnsi="Times New Roman" w:cs="Times New Roman"/>
          <w:sz w:val="26"/>
          <w:szCs w:val="26"/>
        </w:rPr>
        <w:t>ф</w:t>
      </w:r>
      <w:r w:rsidR="009D6BC7" w:rsidRPr="00AC385D">
        <w:rPr>
          <w:rFonts w:ascii="Times New Roman" w:hAnsi="Times New Roman" w:cs="Times New Roman"/>
          <w:sz w:val="26"/>
          <w:szCs w:val="26"/>
        </w:rPr>
        <w:t xml:space="preserve">едеральный бюджет на 2016 год сведен с </w:t>
      </w:r>
      <w:r w:rsidRPr="00AC385D">
        <w:rPr>
          <w:rFonts w:ascii="Times New Roman" w:hAnsi="Times New Roman" w:cs="Times New Roman"/>
          <w:sz w:val="26"/>
          <w:szCs w:val="26"/>
        </w:rPr>
        <w:t xml:space="preserve">довольно </w:t>
      </w:r>
      <w:r w:rsidR="009D6BC7" w:rsidRPr="00AC385D">
        <w:rPr>
          <w:rFonts w:ascii="Times New Roman" w:hAnsi="Times New Roman" w:cs="Times New Roman"/>
          <w:sz w:val="26"/>
          <w:szCs w:val="26"/>
        </w:rPr>
        <w:t xml:space="preserve">большим дефицитом, задача сокращения бюджетных расходов относительно ВВП отложена на последующие годы, хотя времени для ее решения не остается. </w:t>
      </w:r>
      <w:r w:rsidR="00772B69" w:rsidRPr="00AC385D">
        <w:rPr>
          <w:rFonts w:ascii="Times New Roman" w:hAnsi="Times New Roman" w:cs="Times New Roman"/>
          <w:sz w:val="26"/>
          <w:szCs w:val="26"/>
        </w:rPr>
        <w:t xml:space="preserve">Хотя последнее решение не угрожает краткосрочной стабильности бюджета (на исполнение обязательств 2016 года резервного фонда хватит), его дальнейшие перспективы стали еще менее определенными. </w:t>
      </w:r>
      <w:r w:rsidR="009D6BC7" w:rsidRPr="00AC385D">
        <w:rPr>
          <w:rFonts w:ascii="Times New Roman" w:hAnsi="Times New Roman" w:cs="Times New Roman"/>
          <w:sz w:val="26"/>
          <w:szCs w:val="26"/>
        </w:rPr>
        <w:t xml:space="preserve">Несмотря на </w:t>
      </w:r>
      <w:r w:rsidR="00EF2C7C" w:rsidRPr="00AC385D">
        <w:rPr>
          <w:rFonts w:ascii="Times New Roman" w:hAnsi="Times New Roman" w:cs="Times New Roman"/>
          <w:sz w:val="26"/>
          <w:szCs w:val="26"/>
        </w:rPr>
        <w:t xml:space="preserve">принятые непопулярные в социальном отношении решения об ограниченной индексации пенсий, </w:t>
      </w:r>
      <w:r w:rsidR="009D6BC7" w:rsidRPr="00AC385D">
        <w:rPr>
          <w:rFonts w:ascii="Times New Roman" w:hAnsi="Times New Roman" w:cs="Times New Roman"/>
          <w:sz w:val="26"/>
          <w:szCs w:val="26"/>
        </w:rPr>
        <w:t xml:space="preserve">расходы на пенсионное обеспечение </w:t>
      </w:r>
      <w:r w:rsidRPr="00AC385D">
        <w:rPr>
          <w:rFonts w:ascii="Times New Roman" w:hAnsi="Times New Roman" w:cs="Times New Roman"/>
          <w:sz w:val="26"/>
          <w:szCs w:val="26"/>
        </w:rPr>
        <w:t xml:space="preserve">продолжают </w:t>
      </w:r>
      <w:r w:rsidR="00FF7754">
        <w:rPr>
          <w:rFonts w:ascii="Times New Roman" w:hAnsi="Times New Roman" w:cs="Times New Roman"/>
          <w:sz w:val="26"/>
          <w:szCs w:val="26"/>
        </w:rPr>
        <w:t>расти</w:t>
      </w:r>
      <w:r w:rsidR="009D6BC7" w:rsidRPr="00AC385D">
        <w:rPr>
          <w:rFonts w:ascii="Times New Roman" w:hAnsi="Times New Roman" w:cs="Times New Roman"/>
          <w:sz w:val="26"/>
          <w:szCs w:val="26"/>
        </w:rPr>
        <w:t xml:space="preserve">. </w:t>
      </w:r>
      <w:r w:rsidR="00EF2C7C" w:rsidRPr="00AC385D">
        <w:rPr>
          <w:rFonts w:ascii="Times New Roman" w:hAnsi="Times New Roman" w:cs="Times New Roman"/>
          <w:sz w:val="26"/>
          <w:szCs w:val="26"/>
        </w:rPr>
        <w:t xml:space="preserve">Это означает, что </w:t>
      </w:r>
      <w:r w:rsidRPr="00AC385D">
        <w:rPr>
          <w:rFonts w:ascii="Times New Roman" w:hAnsi="Times New Roman" w:cs="Times New Roman"/>
          <w:sz w:val="26"/>
          <w:szCs w:val="26"/>
        </w:rPr>
        <w:t xml:space="preserve">реформировать </w:t>
      </w:r>
      <w:r w:rsidR="00EF2C7C" w:rsidRPr="00AC385D">
        <w:rPr>
          <w:rFonts w:ascii="Times New Roman" w:hAnsi="Times New Roman" w:cs="Times New Roman"/>
          <w:sz w:val="26"/>
          <w:szCs w:val="26"/>
        </w:rPr>
        <w:t>пенсионн</w:t>
      </w:r>
      <w:r w:rsidRPr="00AC385D">
        <w:rPr>
          <w:rFonts w:ascii="Times New Roman" w:hAnsi="Times New Roman" w:cs="Times New Roman"/>
          <w:sz w:val="26"/>
          <w:szCs w:val="26"/>
        </w:rPr>
        <w:t xml:space="preserve">ую </w:t>
      </w:r>
      <w:r w:rsidRPr="00AC385D">
        <w:rPr>
          <w:rFonts w:ascii="Times New Roman" w:hAnsi="Times New Roman" w:cs="Times New Roman"/>
          <w:sz w:val="26"/>
          <w:szCs w:val="26"/>
        </w:rPr>
        <w:lastRenderedPageBreak/>
        <w:t>систему все равно придется, но скорее всего в еще менее благоприятных условиях</w:t>
      </w:r>
      <w:r w:rsidR="00EF2C7C" w:rsidRPr="00AC385D">
        <w:rPr>
          <w:rFonts w:ascii="Times New Roman" w:hAnsi="Times New Roman" w:cs="Times New Roman"/>
          <w:sz w:val="26"/>
          <w:szCs w:val="26"/>
        </w:rPr>
        <w:t xml:space="preserve">. </w:t>
      </w:r>
      <w:r w:rsidR="009D6BC7" w:rsidRPr="00AC385D">
        <w:rPr>
          <w:rFonts w:ascii="Times New Roman" w:hAnsi="Times New Roman" w:cs="Times New Roman"/>
          <w:sz w:val="26"/>
          <w:szCs w:val="26"/>
        </w:rPr>
        <w:t xml:space="preserve">И, наконец, расходы на </w:t>
      </w:r>
      <w:proofErr w:type="gramStart"/>
      <w:r w:rsidR="009D6BC7" w:rsidRPr="00AC385D">
        <w:rPr>
          <w:rFonts w:ascii="Times New Roman" w:hAnsi="Times New Roman" w:cs="Times New Roman"/>
          <w:sz w:val="26"/>
          <w:szCs w:val="26"/>
        </w:rPr>
        <w:t>образование</w:t>
      </w:r>
      <w:proofErr w:type="gramEnd"/>
      <w:r w:rsidR="009D6BC7" w:rsidRPr="00AC385D">
        <w:rPr>
          <w:rFonts w:ascii="Times New Roman" w:hAnsi="Times New Roman" w:cs="Times New Roman"/>
          <w:sz w:val="26"/>
          <w:szCs w:val="26"/>
        </w:rPr>
        <w:t xml:space="preserve"> и здравоохранение быстро снижаются не только на федеральном уровне, но и на уровне бюджетной системы в целом.</w:t>
      </w:r>
    </w:p>
    <w:p w14:paraId="78636B52" w14:textId="77777777" w:rsidR="008E3075" w:rsidRPr="008E362C" w:rsidRDefault="008E3075" w:rsidP="008E362C">
      <w:pPr>
        <w:pStyle w:val="1"/>
        <w:spacing w:before="240" w:after="240"/>
        <w:jc w:val="center"/>
        <w:rPr>
          <w:rFonts w:ascii="Times New Roman" w:hAnsi="Times New Roman" w:cs="Times New Roman"/>
          <w:color w:val="auto"/>
        </w:rPr>
      </w:pPr>
      <w:bookmarkStart w:id="3" w:name="_Toc434260590"/>
      <w:r w:rsidRPr="008E362C">
        <w:rPr>
          <w:rFonts w:ascii="Times New Roman" w:hAnsi="Times New Roman" w:cs="Times New Roman"/>
          <w:color w:val="auto"/>
        </w:rPr>
        <w:t>3. Межбюджетные трансферты из федерального бюджета субъектам Российской Федерации</w:t>
      </w:r>
      <w:bookmarkEnd w:id="3"/>
    </w:p>
    <w:p w14:paraId="19191464" w14:textId="77777777" w:rsidR="008E3075" w:rsidRPr="00AC385D" w:rsidRDefault="00761380" w:rsidP="00AC385D">
      <w:pPr>
        <w:spacing w:after="160"/>
        <w:ind w:firstLine="720"/>
        <w:jc w:val="both"/>
        <w:rPr>
          <w:rFonts w:ascii="Times New Roman" w:eastAsia="Calibri" w:hAnsi="Times New Roman" w:cs="Times New Roman"/>
          <w:sz w:val="26"/>
          <w:szCs w:val="26"/>
        </w:rPr>
      </w:pPr>
      <w:r w:rsidRPr="00AC385D">
        <w:rPr>
          <w:rFonts w:ascii="Times New Roman" w:eastAsia="Calibri" w:hAnsi="Times New Roman" w:cs="Times New Roman"/>
          <w:sz w:val="26"/>
          <w:szCs w:val="26"/>
        </w:rPr>
        <w:t>Несмотря на сохранение напряженной ситуации с исполнением региональных бюджетов, п</w:t>
      </w:r>
      <w:r w:rsidR="008E3075" w:rsidRPr="00AC385D">
        <w:rPr>
          <w:rFonts w:ascii="Times New Roman" w:eastAsia="Calibri" w:hAnsi="Times New Roman" w:cs="Times New Roman"/>
          <w:sz w:val="26"/>
          <w:szCs w:val="26"/>
        </w:rPr>
        <w:t>роект Федерального закона «О федеральном бюджете на 2016</w:t>
      </w:r>
      <w:r w:rsidR="00FF7754">
        <w:rPr>
          <w:rFonts w:ascii="Times New Roman" w:eastAsia="Calibri" w:hAnsi="Times New Roman" w:cs="Times New Roman"/>
          <w:sz w:val="26"/>
          <w:szCs w:val="26"/>
        </w:rPr>
        <w:t xml:space="preserve"> </w:t>
      </w:r>
      <w:r w:rsidR="008E3075" w:rsidRPr="00AC385D">
        <w:rPr>
          <w:rFonts w:ascii="Times New Roman" w:eastAsia="Calibri" w:hAnsi="Times New Roman" w:cs="Times New Roman"/>
          <w:sz w:val="26"/>
          <w:szCs w:val="26"/>
        </w:rPr>
        <w:t xml:space="preserve">год» предусматривает сокращение общего объема межбюджетных трансфертов в 2016 г. в номинальном выражении на 3,9%. Данное сокращение складывается за счет разнонаправленной динамики номинальных расходов по подразделам межбюджетных трансфертов. </w:t>
      </w:r>
      <w:proofErr w:type="gramStart"/>
      <w:r w:rsidR="008E3075" w:rsidRPr="00AC385D">
        <w:rPr>
          <w:rFonts w:ascii="Times New Roman" w:eastAsia="Calibri" w:hAnsi="Times New Roman" w:cs="Times New Roman"/>
          <w:sz w:val="26"/>
          <w:szCs w:val="26"/>
        </w:rPr>
        <w:t xml:space="preserve">Межбюджетные трансферты общего характера бюджетам субъектов Российской Федерации и муниципальных образований снижаются на 2,3% за счет значительного </w:t>
      </w:r>
      <w:r w:rsidR="00FF7754">
        <w:rPr>
          <w:rFonts w:ascii="Times New Roman" w:eastAsia="Calibri" w:hAnsi="Times New Roman" w:cs="Times New Roman"/>
          <w:sz w:val="26"/>
          <w:szCs w:val="26"/>
        </w:rPr>
        <w:t>(</w:t>
      </w:r>
      <w:r w:rsidR="008E3075" w:rsidRPr="00AC385D">
        <w:rPr>
          <w:rFonts w:ascii="Times New Roman" w:eastAsia="Calibri" w:hAnsi="Times New Roman" w:cs="Times New Roman"/>
          <w:sz w:val="26"/>
          <w:szCs w:val="26"/>
        </w:rPr>
        <w:t>на 24,2%</w:t>
      </w:r>
      <w:r w:rsidR="00FF7754">
        <w:rPr>
          <w:rFonts w:ascii="Times New Roman" w:eastAsia="Calibri" w:hAnsi="Times New Roman" w:cs="Times New Roman"/>
          <w:sz w:val="26"/>
          <w:szCs w:val="26"/>
        </w:rPr>
        <w:t>)</w:t>
      </w:r>
      <w:r w:rsidR="008E3075" w:rsidRPr="00AC385D">
        <w:rPr>
          <w:rFonts w:ascii="Times New Roman" w:eastAsia="Calibri" w:hAnsi="Times New Roman" w:cs="Times New Roman"/>
          <w:sz w:val="26"/>
          <w:szCs w:val="26"/>
        </w:rPr>
        <w:t xml:space="preserve"> сокращения дотаций на поддержку мер по обеспечению сбалансированности бюджетов, и хотя удельный вес дотаций на выравнивание бюджетной обеспеченности субъектов Российской Федерации в межбюджетных трансфертах общего характера бюджетам субъектов Российской Федерации и муниципальных образований в 2015 г. почти 3 раза выше, чем</w:t>
      </w:r>
      <w:proofErr w:type="gramEnd"/>
      <w:r w:rsidR="008E3075" w:rsidRPr="00AC385D">
        <w:rPr>
          <w:rFonts w:ascii="Times New Roman" w:eastAsia="Calibri" w:hAnsi="Times New Roman" w:cs="Times New Roman"/>
          <w:sz w:val="26"/>
          <w:szCs w:val="26"/>
        </w:rPr>
        <w:t xml:space="preserve"> у дотаций на поддержку мер по обеспечению сбалансированности бюджетов, их рост на 5,5% не может полностью предотвратить</w:t>
      </w:r>
      <w:r w:rsidR="00AC385D" w:rsidRPr="00AC385D">
        <w:rPr>
          <w:rFonts w:ascii="Times New Roman" w:eastAsia="Calibri" w:hAnsi="Times New Roman" w:cs="Times New Roman"/>
          <w:sz w:val="26"/>
          <w:szCs w:val="26"/>
        </w:rPr>
        <w:t xml:space="preserve"> </w:t>
      </w:r>
      <w:r w:rsidR="008E3075" w:rsidRPr="00AC385D">
        <w:rPr>
          <w:rFonts w:ascii="Times New Roman" w:eastAsia="Calibri" w:hAnsi="Times New Roman" w:cs="Times New Roman"/>
          <w:sz w:val="26"/>
          <w:szCs w:val="26"/>
        </w:rPr>
        <w:t>сокращения расходов на межбюджетные трансферты общего характера бюджетам субъектов Российской Федерации и муниципальных образований. Субсидии и субвенции в 2016 г. по отношению к 2015 г. снижаются на 17,5% и 11,5% соответственно. Увеличение более чем на треть иных межбюджетных трансфертов уменьшает величину снижения общего объема межбюджетных трансфертов, но не предотвращает полностью их снижения в силу небольшого - 11,7% в 2015 г. - удельного веса этих расходов в общем объеме межбюджетных трансфертов.</w:t>
      </w:r>
    </w:p>
    <w:p w14:paraId="722FED82" w14:textId="77777777" w:rsidR="008E3075" w:rsidRPr="00AC385D" w:rsidRDefault="008E3075" w:rsidP="00FF7754">
      <w:pPr>
        <w:spacing w:after="160"/>
        <w:ind w:firstLine="720"/>
        <w:jc w:val="center"/>
        <w:rPr>
          <w:rFonts w:ascii="Times New Roman" w:eastAsia="Calibri" w:hAnsi="Times New Roman" w:cs="Times New Roman"/>
          <w:b/>
          <w:sz w:val="26"/>
          <w:szCs w:val="26"/>
        </w:rPr>
      </w:pPr>
      <w:r w:rsidRPr="00AC385D">
        <w:rPr>
          <w:rFonts w:ascii="Times New Roman" w:eastAsia="Calibri" w:hAnsi="Times New Roman" w:cs="Times New Roman"/>
          <w:b/>
          <w:sz w:val="26"/>
          <w:szCs w:val="26"/>
        </w:rPr>
        <w:t xml:space="preserve">Таблица </w:t>
      </w:r>
      <w:r w:rsidR="00761380" w:rsidRPr="00AC385D">
        <w:rPr>
          <w:rFonts w:ascii="Times New Roman" w:eastAsia="Calibri" w:hAnsi="Times New Roman" w:cs="Times New Roman"/>
          <w:b/>
          <w:sz w:val="26"/>
          <w:szCs w:val="26"/>
        </w:rPr>
        <w:t>3</w:t>
      </w:r>
      <w:r w:rsidRPr="00AC385D">
        <w:rPr>
          <w:rFonts w:ascii="Times New Roman" w:eastAsia="Calibri" w:hAnsi="Times New Roman" w:cs="Times New Roman"/>
          <w:b/>
          <w:sz w:val="26"/>
          <w:szCs w:val="26"/>
        </w:rPr>
        <w:t>. Межбюджетные трансферты в 2014–2016 гг. (млн. руб.)</w:t>
      </w:r>
    </w:p>
    <w:tbl>
      <w:tblPr>
        <w:tblStyle w:val="a8"/>
        <w:tblW w:w="9679" w:type="dxa"/>
        <w:jc w:val="center"/>
        <w:tblLook w:val="04A0" w:firstRow="1" w:lastRow="0" w:firstColumn="1" w:lastColumn="0" w:noHBand="0" w:noVBand="1"/>
      </w:tblPr>
      <w:tblGrid>
        <w:gridCol w:w="3539"/>
        <w:gridCol w:w="2046"/>
        <w:gridCol w:w="2047"/>
        <w:gridCol w:w="2047"/>
      </w:tblGrid>
      <w:tr w:rsidR="008E3075" w:rsidRPr="00FF7754" w14:paraId="13DA9EFC" w14:textId="77777777" w:rsidTr="006B3A18">
        <w:trPr>
          <w:jc w:val="center"/>
        </w:trPr>
        <w:tc>
          <w:tcPr>
            <w:tcW w:w="3539" w:type="dxa"/>
          </w:tcPr>
          <w:p w14:paraId="33B7825F" w14:textId="77777777" w:rsidR="008E3075" w:rsidRPr="00FF7754" w:rsidRDefault="008E3075" w:rsidP="00AC385D">
            <w:pPr>
              <w:spacing w:line="276" w:lineRule="auto"/>
              <w:rPr>
                <w:rFonts w:ascii="Times New Roman" w:eastAsia="Calibri" w:hAnsi="Times New Roman" w:cs="Times New Roman"/>
              </w:rPr>
            </w:pPr>
          </w:p>
        </w:tc>
        <w:tc>
          <w:tcPr>
            <w:tcW w:w="2046" w:type="dxa"/>
            <w:shd w:val="clear" w:color="auto" w:fill="auto"/>
            <w:vAlign w:val="center"/>
          </w:tcPr>
          <w:p w14:paraId="221150F4"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2014 г.*</w:t>
            </w:r>
          </w:p>
        </w:tc>
        <w:tc>
          <w:tcPr>
            <w:tcW w:w="2047" w:type="dxa"/>
            <w:shd w:val="clear" w:color="auto" w:fill="auto"/>
            <w:vAlign w:val="center"/>
          </w:tcPr>
          <w:p w14:paraId="0D5B5D56"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2015 г.**</w:t>
            </w:r>
          </w:p>
        </w:tc>
        <w:tc>
          <w:tcPr>
            <w:tcW w:w="2047" w:type="dxa"/>
            <w:shd w:val="clear" w:color="auto" w:fill="auto"/>
            <w:vAlign w:val="center"/>
          </w:tcPr>
          <w:p w14:paraId="051864AB"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2016 г.***</w:t>
            </w:r>
          </w:p>
        </w:tc>
      </w:tr>
      <w:tr w:rsidR="008E3075" w:rsidRPr="00FF7754" w14:paraId="0EEB6B69" w14:textId="77777777" w:rsidTr="006B3A18">
        <w:trPr>
          <w:jc w:val="center"/>
        </w:trPr>
        <w:tc>
          <w:tcPr>
            <w:tcW w:w="3539" w:type="dxa"/>
            <w:shd w:val="clear" w:color="auto" w:fill="auto"/>
            <w:vAlign w:val="center"/>
          </w:tcPr>
          <w:p w14:paraId="4511D920" w14:textId="77777777" w:rsidR="008E3075" w:rsidRPr="00FF7754" w:rsidRDefault="008E3075" w:rsidP="00AC385D">
            <w:pPr>
              <w:spacing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 xml:space="preserve">Межбюджетные трансферты общего характера бюджетам субъектов Российской Федерации и муниципальных образований, в </w:t>
            </w:r>
            <w:proofErr w:type="spellStart"/>
            <w:r w:rsidRPr="00FF7754">
              <w:rPr>
                <w:rFonts w:ascii="Times New Roman" w:eastAsia="Calibri" w:hAnsi="Times New Roman" w:cs="Times New Roman"/>
                <w:lang w:val="ru-RU"/>
              </w:rPr>
              <w:t>т.ч</w:t>
            </w:r>
            <w:proofErr w:type="spellEnd"/>
            <w:r w:rsidRPr="00FF7754">
              <w:rPr>
                <w:rFonts w:ascii="Times New Roman" w:eastAsia="Calibri" w:hAnsi="Times New Roman" w:cs="Times New Roman"/>
                <w:lang w:val="ru-RU"/>
              </w:rPr>
              <w:t>.:</w:t>
            </w:r>
          </w:p>
        </w:tc>
        <w:tc>
          <w:tcPr>
            <w:tcW w:w="2046" w:type="dxa"/>
            <w:shd w:val="clear" w:color="auto" w:fill="auto"/>
            <w:vAlign w:val="center"/>
          </w:tcPr>
          <w:p w14:paraId="58C38793"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774699</w:t>
            </w:r>
          </w:p>
        </w:tc>
        <w:tc>
          <w:tcPr>
            <w:tcW w:w="2047" w:type="dxa"/>
            <w:shd w:val="clear" w:color="auto" w:fill="auto"/>
            <w:vAlign w:val="center"/>
          </w:tcPr>
          <w:p w14:paraId="60350245"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662828</w:t>
            </w:r>
          </w:p>
        </w:tc>
        <w:tc>
          <w:tcPr>
            <w:tcW w:w="2047" w:type="dxa"/>
            <w:shd w:val="clear" w:color="auto" w:fill="auto"/>
            <w:vAlign w:val="center"/>
          </w:tcPr>
          <w:p w14:paraId="6CA4F22C"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647370</w:t>
            </w:r>
          </w:p>
        </w:tc>
      </w:tr>
      <w:tr w:rsidR="008E3075" w:rsidRPr="00FF7754" w14:paraId="375CF309" w14:textId="77777777" w:rsidTr="006B3A18">
        <w:trPr>
          <w:jc w:val="center"/>
        </w:trPr>
        <w:tc>
          <w:tcPr>
            <w:tcW w:w="3539" w:type="dxa"/>
            <w:shd w:val="clear" w:color="auto" w:fill="auto"/>
            <w:vAlign w:val="center"/>
          </w:tcPr>
          <w:p w14:paraId="7884647F" w14:textId="77777777" w:rsidR="008E3075" w:rsidRPr="00FF7754" w:rsidRDefault="008E3075" w:rsidP="00FF7754">
            <w:pPr>
              <w:spacing w:line="276" w:lineRule="auto"/>
              <w:ind w:left="622"/>
              <w:jc w:val="both"/>
              <w:rPr>
                <w:rFonts w:ascii="Times New Roman" w:eastAsia="Calibri" w:hAnsi="Times New Roman" w:cs="Times New Roman"/>
                <w:lang w:val="ru-RU"/>
              </w:rPr>
            </w:pPr>
            <w:r w:rsidRPr="00FF7754">
              <w:rPr>
                <w:rFonts w:ascii="Times New Roman" w:eastAsia="Calibri" w:hAnsi="Times New Roman" w:cs="Times New Roman"/>
                <w:lang w:val="ru-RU"/>
              </w:rPr>
              <w:t>выравнивание бюджетной обеспеченности субъектов Российской Федерации</w:t>
            </w:r>
          </w:p>
        </w:tc>
        <w:tc>
          <w:tcPr>
            <w:tcW w:w="2046" w:type="dxa"/>
            <w:shd w:val="clear" w:color="auto" w:fill="auto"/>
            <w:vAlign w:val="center"/>
          </w:tcPr>
          <w:p w14:paraId="0A1055AD"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439772</w:t>
            </w:r>
          </w:p>
        </w:tc>
        <w:tc>
          <w:tcPr>
            <w:tcW w:w="2047" w:type="dxa"/>
            <w:shd w:val="clear" w:color="auto" w:fill="auto"/>
            <w:vAlign w:val="center"/>
          </w:tcPr>
          <w:p w14:paraId="2FB372F0"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487772</w:t>
            </w:r>
          </w:p>
        </w:tc>
        <w:tc>
          <w:tcPr>
            <w:tcW w:w="2047" w:type="dxa"/>
            <w:shd w:val="clear" w:color="auto" w:fill="auto"/>
            <w:vAlign w:val="center"/>
          </w:tcPr>
          <w:p w14:paraId="124D37A8"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514600</w:t>
            </w:r>
          </w:p>
        </w:tc>
      </w:tr>
      <w:tr w:rsidR="008E3075" w:rsidRPr="00FF7754" w14:paraId="515674B8" w14:textId="77777777" w:rsidTr="006B3A18">
        <w:trPr>
          <w:jc w:val="center"/>
        </w:trPr>
        <w:tc>
          <w:tcPr>
            <w:tcW w:w="3539" w:type="dxa"/>
            <w:shd w:val="clear" w:color="auto" w:fill="auto"/>
            <w:vAlign w:val="center"/>
          </w:tcPr>
          <w:p w14:paraId="03E4734B" w14:textId="77777777" w:rsidR="008E3075" w:rsidRPr="00FF7754" w:rsidRDefault="008E3075" w:rsidP="00FF7754">
            <w:pPr>
              <w:spacing w:line="276" w:lineRule="auto"/>
              <w:ind w:left="622"/>
              <w:jc w:val="both"/>
              <w:rPr>
                <w:rFonts w:ascii="Times New Roman" w:eastAsia="Calibri" w:hAnsi="Times New Roman" w:cs="Times New Roman"/>
                <w:lang w:val="ru-RU"/>
              </w:rPr>
            </w:pPr>
            <w:r w:rsidRPr="00FF7754">
              <w:rPr>
                <w:rFonts w:ascii="Times New Roman" w:eastAsia="Calibri" w:hAnsi="Times New Roman" w:cs="Times New Roman"/>
                <w:lang w:val="ru-RU"/>
              </w:rPr>
              <w:t>дотации на поддержку мер по обеспечению сбалансированности бюджетов</w:t>
            </w:r>
          </w:p>
        </w:tc>
        <w:tc>
          <w:tcPr>
            <w:tcW w:w="2046" w:type="dxa"/>
            <w:shd w:val="clear" w:color="auto" w:fill="auto"/>
            <w:vAlign w:val="center"/>
          </w:tcPr>
          <w:p w14:paraId="6E27C19C"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334927</w:t>
            </w:r>
          </w:p>
        </w:tc>
        <w:tc>
          <w:tcPr>
            <w:tcW w:w="2047" w:type="dxa"/>
            <w:shd w:val="clear" w:color="auto" w:fill="auto"/>
            <w:vAlign w:val="center"/>
          </w:tcPr>
          <w:p w14:paraId="063B74D0"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175056</w:t>
            </w:r>
          </w:p>
        </w:tc>
        <w:tc>
          <w:tcPr>
            <w:tcW w:w="2047" w:type="dxa"/>
            <w:shd w:val="clear" w:color="auto" w:fill="auto"/>
            <w:vAlign w:val="center"/>
          </w:tcPr>
          <w:p w14:paraId="31FCFBD9"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132771</w:t>
            </w:r>
          </w:p>
        </w:tc>
      </w:tr>
      <w:tr w:rsidR="008E3075" w:rsidRPr="00FF7754" w14:paraId="046A6566" w14:textId="77777777" w:rsidTr="006B3A18">
        <w:trPr>
          <w:jc w:val="center"/>
        </w:trPr>
        <w:tc>
          <w:tcPr>
            <w:tcW w:w="3539" w:type="dxa"/>
            <w:shd w:val="clear" w:color="auto" w:fill="auto"/>
            <w:vAlign w:val="center"/>
          </w:tcPr>
          <w:p w14:paraId="7CC89C38" w14:textId="77777777" w:rsidR="008E3075" w:rsidRPr="00FF7754" w:rsidRDefault="008E3075" w:rsidP="00AC385D">
            <w:pPr>
              <w:spacing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Субсидии</w:t>
            </w:r>
            <w:proofErr w:type="spellEnd"/>
          </w:p>
        </w:tc>
        <w:tc>
          <w:tcPr>
            <w:tcW w:w="2046" w:type="dxa"/>
            <w:shd w:val="clear" w:color="auto" w:fill="auto"/>
            <w:vAlign w:val="center"/>
          </w:tcPr>
          <w:p w14:paraId="371E0755"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409875</w:t>
            </w:r>
          </w:p>
        </w:tc>
        <w:tc>
          <w:tcPr>
            <w:tcW w:w="2047" w:type="dxa"/>
            <w:shd w:val="clear" w:color="auto" w:fill="auto"/>
            <w:vAlign w:val="center"/>
          </w:tcPr>
          <w:p w14:paraId="160C0C71"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425636</w:t>
            </w:r>
          </w:p>
        </w:tc>
        <w:tc>
          <w:tcPr>
            <w:tcW w:w="2047" w:type="dxa"/>
            <w:shd w:val="clear" w:color="auto" w:fill="auto"/>
            <w:vAlign w:val="center"/>
          </w:tcPr>
          <w:p w14:paraId="6746063E"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351048</w:t>
            </w:r>
          </w:p>
        </w:tc>
      </w:tr>
      <w:tr w:rsidR="008E3075" w:rsidRPr="00FF7754" w14:paraId="77AD8F6C" w14:textId="77777777" w:rsidTr="006B3A18">
        <w:trPr>
          <w:jc w:val="center"/>
        </w:trPr>
        <w:tc>
          <w:tcPr>
            <w:tcW w:w="3539" w:type="dxa"/>
            <w:shd w:val="clear" w:color="auto" w:fill="auto"/>
            <w:vAlign w:val="center"/>
          </w:tcPr>
          <w:p w14:paraId="00C0AA9D" w14:textId="77777777" w:rsidR="008E3075" w:rsidRPr="00FF7754" w:rsidRDefault="008E3075" w:rsidP="00AC385D">
            <w:pPr>
              <w:spacing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Субвенции</w:t>
            </w:r>
            <w:proofErr w:type="spellEnd"/>
          </w:p>
        </w:tc>
        <w:tc>
          <w:tcPr>
            <w:tcW w:w="2046" w:type="dxa"/>
            <w:shd w:val="clear" w:color="auto" w:fill="auto"/>
            <w:vAlign w:val="center"/>
          </w:tcPr>
          <w:p w14:paraId="7A5DF11E"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308165</w:t>
            </w:r>
          </w:p>
        </w:tc>
        <w:tc>
          <w:tcPr>
            <w:tcW w:w="2047" w:type="dxa"/>
            <w:shd w:val="clear" w:color="auto" w:fill="auto"/>
            <w:vAlign w:val="center"/>
          </w:tcPr>
          <w:p w14:paraId="00F812ED"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363016</w:t>
            </w:r>
          </w:p>
        </w:tc>
        <w:tc>
          <w:tcPr>
            <w:tcW w:w="2047" w:type="dxa"/>
            <w:shd w:val="clear" w:color="auto" w:fill="auto"/>
            <w:vAlign w:val="center"/>
          </w:tcPr>
          <w:p w14:paraId="47FAB2E3"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321299</w:t>
            </w:r>
          </w:p>
        </w:tc>
      </w:tr>
      <w:tr w:rsidR="008E3075" w:rsidRPr="00FF7754" w14:paraId="66CC9930" w14:textId="77777777" w:rsidTr="006B3A18">
        <w:trPr>
          <w:jc w:val="center"/>
        </w:trPr>
        <w:tc>
          <w:tcPr>
            <w:tcW w:w="3539" w:type="dxa"/>
            <w:shd w:val="clear" w:color="auto" w:fill="auto"/>
            <w:vAlign w:val="center"/>
          </w:tcPr>
          <w:p w14:paraId="5864092F" w14:textId="77777777" w:rsidR="008E3075" w:rsidRPr="00FF7754" w:rsidRDefault="008E3075" w:rsidP="00AC385D">
            <w:pPr>
              <w:spacing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межбюджетные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трансферты</w:t>
            </w:r>
            <w:proofErr w:type="spellEnd"/>
          </w:p>
        </w:tc>
        <w:tc>
          <w:tcPr>
            <w:tcW w:w="2046" w:type="dxa"/>
            <w:shd w:val="clear" w:color="auto" w:fill="auto"/>
            <w:vAlign w:val="center"/>
          </w:tcPr>
          <w:p w14:paraId="10C14018"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114236</w:t>
            </w:r>
          </w:p>
        </w:tc>
        <w:tc>
          <w:tcPr>
            <w:tcW w:w="2047" w:type="dxa"/>
            <w:shd w:val="clear" w:color="auto" w:fill="auto"/>
            <w:vAlign w:val="center"/>
          </w:tcPr>
          <w:p w14:paraId="60C4A166"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192096</w:t>
            </w:r>
          </w:p>
        </w:tc>
        <w:tc>
          <w:tcPr>
            <w:tcW w:w="2047" w:type="dxa"/>
            <w:shd w:val="clear" w:color="auto" w:fill="auto"/>
            <w:vAlign w:val="center"/>
          </w:tcPr>
          <w:p w14:paraId="7270A73C"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259302</w:t>
            </w:r>
          </w:p>
        </w:tc>
      </w:tr>
      <w:tr w:rsidR="008E3075" w:rsidRPr="00FF7754" w14:paraId="06A744C0" w14:textId="77777777" w:rsidTr="006B3A18">
        <w:trPr>
          <w:jc w:val="center"/>
        </w:trPr>
        <w:tc>
          <w:tcPr>
            <w:tcW w:w="3539" w:type="dxa"/>
            <w:shd w:val="clear" w:color="auto" w:fill="auto"/>
            <w:vAlign w:val="center"/>
          </w:tcPr>
          <w:p w14:paraId="521DB1F5" w14:textId="77777777" w:rsidR="008E3075" w:rsidRPr="00FF7754" w:rsidRDefault="008E3075" w:rsidP="00AC385D">
            <w:pPr>
              <w:spacing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Итого</w:t>
            </w:r>
            <w:proofErr w:type="spellEnd"/>
          </w:p>
        </w:tc>
        <w:tc>
          <w:tcPr>
            <w:tcW w:w="2046" w:type="dxa"/>
            <w:shd w:val="clear" w:color="auto" w:fill="auto"/>
            <w:vAlign w:val="center"/>
          </w:tcPr>
          <w:p w14:paraId="5840F6F1"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1606975</w:t>
            </w:r>
          </w:p>
        </w:tc>
        <w:tc>
          <w:tcPr>
            <w:tcW w:w="2047" w:type="dxa"/>
            <w:shd w:val="clear" w:color="auto" w:fill="auto"/>
            <w:vAlign w:val="center"/>
          </w:tcPr>
          <w:p w14:paraId="4F4E6DD1"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1643575</w:t>
            </w:r>
          </w:p>
        </w:tc>
        <w:tc>
          <w:tcPr>
            <w:tcW w:w="2047" w:type="dxa"/>
            <w:shd w:val="clear" w:color="auto" w:fill="auto"/>
            <w:vAlign w:val="center"/>
          </w:tcPr>
          <w:p w14:paraId="0ED7C4D8" w14:textId="77777777" w:rsidR="008E3075" w:rsidRPr="00FF7754" w:rsidRDefault="008E3075" w:rsidP="00AC385D">
            <w:pPr>
              <w:spacing w:line="276" w:lineRule="auto"/>
              <w:jc w:val="center"/>
              <w:rPr>
                <w:rFonts w:ascii="Times New Roman" w:eastAsia="Calibri" w:hAnsi="Times New Roman" w:cs="Times New Roman"/>
              </w:rPr>
            </w:pPr>
            <w:r w:rsidRPr="00FF7754">
              <w:rPr>
                <w:rFonts w:ascii="Times New Roman" w:eastAsia="Calibri" w:hAnsi="Times New Roman" w:cs="Times New Roman"/>
              </w:rPr>
              <w:t>1579020</w:t>
            </w:r>
          </w:p>
        </w:tc>
      </w:tr>
    </w:tbl>
    <w:p w14:paraId="5A0528A7" w14:textId="77777777" w:rsidR="008E3075" w:rsidRPr="00FF7754" w:rsidRDefault="008E3075" w:rsidP="00E72824">
      <w:pPr>
        <w:spacing w:after="0" w:line="240" w:lineRule="auto"/>
        <w:jc w:val="center"/>
        <w:rPr>
          <w:rFonts w:ascii="Times New Roman" w:eastAsia="Calibri" w:hAnsi="Times New Roman" w:cs="Times New Roman"/>
        </w:rPr>
      </w:pPr>
      <w:r w:rsidRPr="00FF7754">
        <w:rPr>
          <w:rFonts w:ascii="Times New Roman" w:eastAsia="Calibri" w:hAnsi="Times New Roman" w:cs="Times New Roman"/>
        </w:rPr>
        <w:lastRenderedPageBreak/>
        <w:t>Примечания:</w:t>
      </w:r>
    </w:p>
    <w:p w14:paraId="12F583A2" w14:textId="77777777" w:rsidR="008E3075" w:rsidRPr="00FF7754" w:rsidRDefault="008E3075" w:rsidP="00E72824">
      <w:pPr>
        <w:spacing w:after="0" w:line="240" w:lineRule="auto"/>
        <w:jc w:val="center"/>
        <w:rPr>
          <w:rFonts w:ascii="Times New Roman" w:eastAsia="Calibri" w:hAnsi="Times New Roman" w:cs="Times New Roman"/>
        </w:rPr>
      </w:pPr>
      <w:r w:rsidRPr="00FF7754">
        <w:rPr>
          <w:rFonts w:ascii="Times New Roman" w:eastAsia="Calibri" w:hAnsi="Times New Roman" w:cs="Times New Roman"/>
        </w:rPr>
        <w:t>* Кассовое исполнение федерального бюджета по состоянию на 01.01.2015 г.</w:t>
      </w:r>
    </w:p>
    <w:p w14:paraId="6FC7A614" w14:textId="77777777" w:rsidR="008E3075" w:rsidRPr="00FF7754" w:rsidRDefault="008E3075" w:rsidP="00E72824">
      <w:pPr>
        <w:spacing w:after="0" w:line="240" w:lineRule="auto"/>
        <w:jc w:val="center"/>
        <w:rPr>
          <w:rFonts w:ascii="Times New Roman" w:eastAsia="Calibri" w:hAnsi="Times New Roman" w:cs="Times New Roman"/>
        </w:rPr>
      </w:pPr>
      <w:r w:rsidRPr="00FF7754">
        <w:rPr>
          <w:rFonts w:ascii="Times New Roman" w:eastAsia="Calibri" w:hAnsi="Times New Roman" w:cs="Times New Roman"/>
        </w:rPr>
        <w:t>** Уточненная роспись по состоянию на 01.03.2015 г.</w:t>
      </w:r>
    </w:p>
    <w:p w14:paraId="593B515D" w14:textId="77777777" w:rsidR="008E3075" w:rsidRPr="00FF7754" w:rsidRDefault="008E3075" w:rsidP="00E72824">
      <w:pPr>
        <w:spacing w:after="0" w:line="240" w:lineRule="auto"/>
        <w:jc w:val="center"/>
        <w:rPr>
          <w:rFonts w:ascii="Times New Roman" w:eastAsia="Calibri" w:hAnsi="Times New Roman" w:cs="Times New Roman"/>
        </w:rPr>
      </w:pPr>
      <w:r w:rsidRPr="00FF7754">
        <w:rPr>
          <w:rFonts w:ascii="Times New Roman" w:eastAsia="Calibri" w:hAnsi="Times New Roman" w:cs="Times New Roman"/>
        </w:rPr>
        <w:t>*** Приложение № 14 к пояснительной записке к проекту федерального закона "О федеральном бюджете на 2016 год"</w:t>
      </w:r>
    </w:p>
    <w:p w14:paraId="53AD3F9D" w14:textId="77777777" w:rsidR="00FF7754" w:rsidRDefault="00FF7754" w:rsidP="00AC385D">
      <w:pPr>
        <w:spacing w:after="160"/>
        <w:ind w:firstLine="720"/>
        <w:jc w:val="both"/>
        <w:rPr>
          <w:rFonts w:ascii="Times New Roman" w:eastAsia="Calibri" w:hAnsi="Times New Roman" w:cs="Times New Roman"/>
          <w:sz w:val="26"/>
          <w:szCs w:val="26"/>
        </w:rPr>
      </w:pPr>
    </w:p>
    <w:p w14:paraId="386E5A47" w14:textId="77777777" w:rsidR="008E3075" w:rsidRPr="00AC385D" w:rsidRDefault="008E3075" w:rsidP="00AC385D">
      <w:pPr>
        <w:spacing w:after="160"/>
        <w:ind w:firstLine="720"/>
        <w:jc w:val="both"/>
        <w:rPr>
          <w:rFonts w:ascii="Times New Roman" w:eastAsia="Calibri" w:hAnsi="Times New Roman" w:cs="Times New Roman"/>
          <w:sz w:val="26"/>
          <w:szCs w:val="26"/>
        </w:rPr>
      </w:pPr>
      <w:r w:rsidRPr="00AC385D">
        <w:rPr>
          <w:rFonts w:ascii="Times New Roman" w:eastAsia="Calibri" w:hAnsi="Times New Roman" w:cs="Times New Roman"/>
          <w:sz w:val="26"/>
          <w:szCs w:val="26"/>
        </w:rPr>
        <w:t xml:space="preserve">Общий объем расходов на межбюджетные трансферты субъектам Российской Федерации в реальном выражении в ценах 2014 года сокращается еще заметнее в 2016 году, чем номинальные расходы на межбюджетные трансферты. </w:t>
      </w:r>
    </w:p>
    <w:p w14:paraId="7C8A3360" w14:textId="77777777" w:rsidR="008E3075" w:rsidRPr="00AC385D" w:rsidRDefault="008E3075" w:rsidP="00AC385D">
      <w:pPr>
        <w:spacing w:after="160"/>
        <w:ind w:firstLine="720"/>
        <w:jc w:val="both"/>
        <w:rPr>
          <w:rFonts w:ascii="Times New Roman" w:eastAsia="Calibri" w:hAnsi="Times New Roman" w:cs="Times New Roman"/>
          <w:sz w:val="26"/>
          <w:szCs w:val="26"/>
        </w:rPr>
      </w:pPr>
      <w:r w:rsidRPr="00AC385D">
        <w:rPr>
          <w:rFonts w:ascii="Times New Roman" w:eastAsia="Calibri" w:hAnsi="Times New Roman" w:cs="Times New Roman"/>
          <w:sz w:val="26"/>
          <w:szCs w:val="26"/>
        </w:rPr>
        <w:t>Темп сокращения общего объема межбюджетных трансфертов и межбюджетных трансферты общего характера бюджетам субъектов Российской Федерации и муниципальных образований в 2016 г. замедляется по сравнению с 2015 годом.</w:t>
      </w:r>
      <w:r w:rsidR="00AC385D" w:rsidRPr="00AC385D">
        <w:rPr>
          <w:rFonts w:ascii="Times New Roman" w:eastAsia="Calibri" w:hAnsi="Times New Roman" w:cs="Times New Roman"/>
          <w:sz w:val="26"/>
          <w:szCs w:val="26"/>
        </w:rPr>
        <w:t xml:space="preserve"> </w:t>
      </w:r>
      <w:r w:rsidRPr="00AC385D">
        <w:rPr>
          <w:rFonts w:ascii="Times New Roman" w:eastAsia="Calibri" w:hAnsi="Times New Roman" w:cs="Times New Roman"/>
          <w:sz w:val="26"/>
          <w:szCs w:val="26"/>
        </w:rPr>
        <w:t>В 2016 году замедляется темп сокращения дотаций на поддержку мер по обеспечению сбалансированности бюджетов. Продолжается сокращение субсидий и субвенций. Следует также отметить очень значительный рост иных межбюджетных трансфертов в 2016 году в ценах 2014 г.</w:t>
      </w:r>
    </w:p>
    <w:p w14:paraId="5CE1E50E" w14:textId="77777777" w:rsidR="008E3075" w:rsidRPr="00AC385D" w:rsidRDefault="008E3075" w:rsidP="00FF7754">
      <w:pPr>
        <w:spacing w:after="160"/>
        <w:jc w:val="center"/>
        <w:rPr>
          <w:rFonts w:ascii="Times New Roman" w:eastAsia="Calibri" w:hAnsi="Times New Roman" w:cs="Times New Roman"/>
          <w:b/>
          <w:sz w:val="26"/>
          <w:szCs w:val="26"/>
        </w:rPr>
      </w:pPr>
      <w:r w:rsidRPr="00AC385D">
        <w:rPr>
          <w:rFonts w:ascii="Times New Roman" w:eastAsia="Calibri" w:hAnsi="Times New Roman" w:cs="Times New Roman"/>
          <w:b/>
          <w:sz w:val="26"/>
          <w:szCs w:val="26"/>
        </w:rPr>
        <w:t xml:space="preserve">Таблица </w:t>
      </w:r>
      <w:r w:rsidR="00735EB0" w:rsidRPr="00AC385D">
        <w:rPr>
          <w:rFonts w:ascii="Times New Roman" w:eastAsia="Calibri" w:hAnsi="Times New Roman" w:cs="Times New Roman"/>
          <w:b/>
          <w:sz w:val="26"/>
          <w:szCs w:val="26"/>
        </w:rPr>
        <w:t>4</w:t>
      </w:r>
      <w:r w:rsidRPr="00AC385D">
        <w:rPr>
          <w:rFonts w:ascii="Times New Roman" w:eastAsia="Calibri" w:hAnsi="Times New Roman" w:cs="Times New Roman"/>
          <w:b/>
          <w:sz w:val="26"/>
          <w:szCs w:val="26"/>
        </w:rPr>
        <w:t>. Межбюджетные трансферты в 2014–2016 гг. в реальном выражении (в ценах 2014 г.)</w:t>
      </w:r>
    </w:p>
    <w:tbl>
      <w:tblPr>
        <w:tblStyle w:val="a8"/>
        <w:tblW w:w="9679" w:type="dxa"/>
        <w:jc w:val="center"/>
        <w:tblLook w:val="04A0" w:firstRow="1" w:lastRow="0" w:firstColumn="1" w:lastColumn="0" w:noHBand="0" w:noVBand="1"/>
      </w:tblPr>
      <w:tblGrid>
        <w:gridCol w:w="3539"/>
        <w:gridCol w:w="2046"/>
        <w:gridCol w:w="2047"/>
        <w:gridCol w:w="2047"/>
      </w:tblGrid>
      <w:tr w:rsidR="008E3075" w:rsidRPr="00FF7754" w14:paraId="7D3CD6C9" w14:textId="77777777" w:rsidTr="006B3A18">
        <w:trPr>
          <w:jc w:val="center"/>
        </w:trPr>
        <w:tc>
          <w:tcPr>
            <w:tcW w:w="3539" w:type="dxa"/>
          </w:tcPr>
          <w:p w14:paraId="611D3B9A" w14:textId="77777777" w:rsidR="008E3075" w:rsidRPr="00FF7754" w:rsidRDefault="008E3075" w:rsidP="00AC385D">
            <w:pPr>
              <w:spacing w:line="276" w:lineRule="auto"/>
              <w:rPr>
                <w:rFonts w:ascii="Times New Roman" w:eastAsia="Calibri" w:hAnsi="Times New Roman" w:cs="Times New Roman"/>
                <w:lang w:val="ru-RU"/>
              </w:rPr>
            </w:pPr>
          </w:p>
        </w:tc>
        <w:tc>
          <w:tcPr>
            <w:tcW w:w="2046" w:type="dxa"/>
            <w:shd w:val="clear" w:color="auto" w:fill="auto"/>
            <w:vAlign w:val="center"/>
          </w:tcPr>
          <w:p w14:paraId="398463E7"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2014 г.</w:t>
            </w:r>
          </w:p>
        </w:tc>
        <w:tc>
          <w:tcPr>
            <w:tcW w:w="2047" w:type="dxa"/>
            <w:shd w:val="clear" w:color="auto" w:fill="auto"/>
            <w:vAlign w:val="center"/>
          </w:tcPr>
          <w:p w14:paraId="26F9706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2015 г.</w:t>
            </w:r>
          </w:p>
        </w:tc>
        <w:tc>
          <w:tcPr>
            <w:tcW w:w="2047" w:type="dxa"/>
            <w:shd w:val="clear" w:color="auto" w:fill="auto"/>
            <w:vAlign w:val="center"/>
          </w:tcPr>
          <w:p w14:paraId="4A5A174E"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2016 г.</w:t>
            </w:r>
          </w:p>
        </w:tc>
      </w:tr>
      <w:tr w:rsidR="008E3075" w:rsidRPr="00FF7754" w14:paraId="72859E08" w14:textId="77777777" w:rsidTr="006B3A18">
        <w:trPr>
          <w:jc w:val="center"/>
        </w:trPr>
        <w:tc>
          <w:tcPr>
            <w:tcW w:w="3539" w:type="dxa"/>
            <w:shd w:val="clear" w:color="auto" w:fill="auto"/>
            <w:vAlign w:val="center"/>
          </w:tcPr>
          <w:p w14:paraId="2208D9DA"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 xml:space="preserve">Межбюджетные трансферты общего характера бюджетам субъектов Российской Федерации и муниципальных образований, в </w:t>
            </w:r>
            <w:proofErr w:type="spellStart"/>
            <w:r w:rsidRPr="00FF7754">
              <w:rPr>
                <w:rFonts w:ascii="Times New Roman" w:eastAsia="Calibri" w:hAnsi="Times New Roman" w:cs="Times New Roman"/>
                <w:lang w:val="ru-RU"/>
              </w:rPr>
              <w:t>т.ч</w:t>
            </w:r>
            <w:proofErr w:type="spellEnd"/>
            <w:r w:rsidRPr="00FF7754">
              <w:rPr>
                <w:rFonts w:ascii="Times New Roman" w:eastAsia="Calibri" w:hAnsi="Times New Roman" w:cs="Times New Roman"/>
                <w:lang w:val="ru-RU"/>
              </w:rPr>
              <w:t>.:</w:t>
            </w:r>
          </w:p>
        </w:tc>
        <w:tc>
          <w:tcPr>
            <w:tcW w:w="2046" w:type="dxa"/>
            <w:shd w:val="clear" w:color="auto" w:fill="auto"/>
            <w:vAlign w:val="center"/>
          </w:tcPr>
          <w:p w14:paraId="489A4B59"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6249764A"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76,2</w:t>
            </w:r>
          </w:p>
        </w:tc>
        <w:tc>
          <w:tcPr>
            <w:tcW w:w="2047" w:type="dxa"/>
            <w:shd w:val="clear" w:color="auto" w:fill="auto"/>
            <w:vAlign w:val="center"/>
          </w:tcPr>
          <w:p w14:paraId="374BD05F"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70,0</w:t>
            </w:r>
          </w:p>
        </w:tc>
      </w:tr>
      <w:tr w:rsidR="008E3075" w:rsidRPr="00FF7754" w14:paraId="13681BA8" w14:textId="77777777" w:rsidTr="006B3A18">
        <w:trPr>
          <w:jc w:val="center"/>
        </w:trPr>
        <w:tc>
          <w:tcPr>
            <w:tcW w:w="3539" w:type="dxa"/>
            <w:shd w:val="clear" w:color="auto" w:fill="auto"/>
            <w:vAlign w:val="center"/>
          </w:tcPr>
          <w:p w14:paraId="0B0C8ABA"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выравнивание бюджетной обеспеченности субъектов Российской Федерации</w:t>
            </w:r>
          </w:p>
        </w:tc>
        <w:tc>
          <w:tcPr>
            <w:tcW w:w="2046" w:type="dxa"/>
            <w:shd w:val="clear" w:color="auto" w:fill="auto"/>
            <w:vAlign w:val="center"/>
          </w:tcPr>
          <w:p w14:paraId="7B32B1BF"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62D9E4B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98,8</w:t>
            </w:r>
          </w:p>
        </w:tc>
        <w:tc>
          <w:tcPr>
            <w:tcW w:w="2047" w:type="dxa"/>
            <w:shd w:val="clear" w:color="auto" w:fill="auto"/>
            <w:vAlign w:val="center"/>
          </w:tcPr>
          <w:p w14:paraId="5C285C41"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98,0</w:t>
            </w:r>
          </w:p>
        </w:tc>
      </w:tr>
      <w:tr w:rsidR="008E3075" w:rsidRPr="00FF7754" w14:paraId="5D0EC253" w14:textId="77777777" w:rsidTr="006B3A18">
        <w:trPr>
          <w:jc w:val="center"/>
        </w:trPr>
        <w:tc>
          <w:tcPr>
            <w:tcW w:w="3539" w:type="dxa"/>
            <w:shd w:val="clear" w:color="auto" w:fill="auto"/>
            <w:vAlign w:val="center"/>
          </w:tcPr>
          <w:p w14:paraId="1BF9C10B"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дотации на поддержку мер по обеспечению сбалансированности бюджетов</w:t>
            </w:r>
          </w:p>
        </w:tc>
        <w:tc>
          <w:tcPr>
            <w:tcW w:w="2046" w:type="dxa"/>
            <w:shd w:val="clear" w:color="auto" w:fill="auto"/>
            <w:vAlign w:val="center"/>
          </w:tcPr>
          <w:p w14:paraId="576F81A3"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6BCD1E5B"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46,6</w:t>
            </w:r>
          </w:p>
        </w:tc>
        <w:tc>
          <w:tcPr>
            <w:tcW w:w="2047" w:type="dxa"/>
            <w:shd w:val="clear" w:color="auto" w:fill="auto"/>
            <w:vAlign w:val="center"/>
          </w:tcPr>
          <w:p w14:paraId="37128896"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33,2</w:t>
            </w:r>
          </w:p>
        </w:tc>
      </w:tr>
      <w:tr w:rsidR="008E3075" w:rsidRPr="00FF7754" w14:paraId="0D09A437" w14:textId="77777777" w:rsidTr="006B3A18">
        <w:trPr>
          <w:jc w:val="center"/>
        </w:trPr>
        <w:tc>
          <w:tcPr>
            <w:tcW w:w="3539" w:type="dxa"/>
            <w:shd w:val="clear" w:color="auto" w:fill="auto"/>
            <w:vAlign w:val="center"/>
          </w:tcPr>
          <w:p w14:paraId="1A41D035"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Субсидии</w:t>
            </w:r>
            <w:proofErr w:type="spellEnd"/>
          </w:p>
        </w:tc>
        <w:tc>
          <w:tcPr>
            <w:tcW w:w="2046" w:type="dxa"/>
            <w:shd w:val="clear" w:color="auto" w:fill="auto"/>
            <w:vAlign w:val="center"/>
          </w:tcPr>
          <w:p w14:paraId="69DD43D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6881617B"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92,5</w:t>
            </w:r>
          </w:p>
        </w:tc>
        <w:tc>
          <w:tcPr>
            <w:tcW w:w="2047" w:type="dxa"/>
            <w:shd w:val="clear" w:color="auto" w:fill="auto"/>
            <w:vAlign w:val="center"/>
          </w:tcPr>
          <w:p w14:paraId="4685909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71,7</w:t>
            </w:r>
          </w:p>
        </w:tc>
      </w:tr>
      <w:tr w:rsidR="008E3075" w:rsidRPr="00FF7754" w14:paraId="59F70931" w14:textId="77777777" w:rsidTr="006B3A18">
        <w:trPr>
          <w:jc w:val="center"/>
        </w:trPr>
        <w:tc>
          <w:tcPr>
            <w:tcW w:w="3539" w:type="dxa"/>
            <w:shd w:val="clear" w:color="auto" w:fill="auto"/>
            <w:vAlign w:val="center"/>
          </w:tcPr>
          <w:p w14:paraId="45ED88E7"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Субвенции</w:t>
            </w:r>
            <w:proofErr w:type="spellEnd"/>
          </w:p>
        </w:tc>
        <w:tc>
          <w:tcPr>
            <w:tcW w:w="2046" w:type="dxa"/>
            <w:shd w:val="clear" w:color="auto" w:fill="auto"/>
            <w:vAlign w:val="center"/>
          </w:tcPr>
          <w:p w14:paraId="44A9E53A"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44CBBDB5"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105,0</w:t>
            </w:r>
          </w:p>
        </w:tc>
        <w:tc>
          <w:tcPr>
            <w:tcW w:w="2047" w:type="dxa"/>
            <w:shd w:val="clear" w:color="auto" w:fill="auto"/>
            <w:vAlign w:val="center"/>
          </w:tcPr>
          <w:p w14:paraId="5739A836"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87,3</w:t>
            </w:r>
          </w:p>
        </w:tc>
      </w:tr>
      <w:tr w:rsidR="008E3075" w:rsidRPr="00FF7754" w14:paraId="1AE21E91" w14:textId="77777777" w:rsidTr="006B3A18">
        <w:trPr>
          <w:jc w:val="center"/>
        </w:trPr>
        <w:tc>
          <w:tcPr>
            <w:tcW w:w="3539" w:type="dxa"/>
            <w:shd w:val="clear" w:color="auto" w:fill="auto"/>
            <w:vAlign w:val="center"/>
          </w:tcPr>
          <w:p w14:paraId="75287404"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межбюджетные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трансферты</w:t>
            </w:r>
            <w:proofErr w:type="spellEnd"/>
          </w:p>
        </w:tc>
        <w:tc>
          <w:tcPr>
            <w:tcW w:w="2046" w:type="dxa"/>
            <w:shd w:val="clear" w:color="auto" w:fill="auto"/>
            <w:vAlign w:val="center"/>
          </w:tcPr>
          <w:p w14:paraId="2BF7A7C7"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56EC4D8A"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149,8</w:t>
            </w:r>
          </w:p>
        </w:tc>
        <w:tc>
          <w:tcPr>
            <w:tcW w:w="2047" w:type="dxa"/>
            <w:shd w:val="clear" w:color="auto" w:fill="auto"/>
            <w:vAlign w:val="center"/>
          </w:tcPr>
          <w:p w14:paraId="42679594"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190,1</w:t>
            </w:r>
          </w:p>
        </w:tc>
      </w:tr>
      <w:tr w:rsidR="008E3075" w:rsidRPr="00FF7754" w14:paraId="53A6DBEE" w14:textId="77777777" w:rsidTr="006B3A18">
        <w:trPr>
          <w:jc w:val="center"/>
        </w:trPr>
        <w:tc>
          <w:tcPr>
            <w:tcW w:w="3539" w:type="dxa"/>
            <w:shd w:val="clear" w:color="auto" w:fill="auto"/>
            <w:vAlign w:val="center"/>
          </w:tcPr>
          <w:p w14:paraId="6FBB654F"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Итого</w:t>
            </w:r>
            <w:proofErr w:type="spellEnd"/>
          </w:p>
        </w:tc>
        <w:tc>
          <w:tcPr>
            <w:tcW w:w="2046" w:type="dxa"/>
            <w:shd w:val="clear" w:color="auto" w:fill="auto"/>
            <w:vAlign w:val="center"/>
          </w:tcPr>
          <w:p w14:paraId="032A703A"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100,0</w:t>
            </w:r>
          </w:p>
        </w:tc>
        <w:tc>
          <w:tcPr>
            <w:tcW w:w="2047" w:type="dxa"/>
            <w:shd w:val="clear" w:color="auto" w:fill="auto"/>
            <w:vAlign w:val="center"/>
          </w:tcPr>
          <w:p w14:paraId="0E202389"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91,1</w:t>
            </w:r>
          </w:p>
        </w:tc>
        <w:tc>
          <w:tcPr>
            <w:tcW w:w="2047" w:type="dxa"/>
            <w:shd w:val="clear" w:color="auto" w:fill="auto"/>
            <w:vAlign w:val="center"/>
          </w:tcPr>
          <w:p w14:paraId="01FFF6AC"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82,3</w:t>
            </w:r>
          </w:p>
        </w:tc>
      </w:tr>
    </w:tbl>
    <w:p w14:paraId="43502330" w14:textId="77777777" w:rsidR="008E3075" w:rsidRPr="00AC385D" w:rsidRDefault="008E3075" w:rsidP="00AC385D">
      <w:pPr>
        <w:spacing w:after="0"/>
        <w:ind w:firstLine="720"/>
        <w:rPr>
          <w:rFonts w:ascii="Times New Roman" w:eastAsia="Calibri" w:hAnsi="Times New Roman" w:cs="Times New Roman"/>
          <w:i/>
          <w:sz w:val="26"/>
          <w:szCs w:val="26"/>
        </w:rPr>
      </w:pPr>
    </w:p>
    <w:p w14:paraId="7462BE3A" w14:textId="77777777" w:rsidR="008E3075" w:rsidRPr="00AC385D" w:rsidRDefault="008E3075" w:rsidP="00AC385D">
      <w:pPr>
        <w:spacing w:after="160"/>
        <w:ind w:firstLine="720"/>
        <w:jc w:val="both"/>
        <w:rPr>
          <w:rFonts w:ascii="Times New Roman" w:eastAsia="Calibri" w:hAnsi="Times New Roman" w:cs="Times New Roman"/>
          <w:sz w:val="26"/>
          <w:szCs w:val="26"/>
        </w:rPr>
      </w:pPr>
      <w:r w:rsidRPr="00AC385D">
        <w:rPr>
          <w:rFonts w:ascii="Times New Roman" w:eastAsia="Calibri" w:hAnsi="Times New Roman" w:cs="Times New Roman"/>
          <w:sz w:val="26"/>
          <w:szCs w:val="26"/>
        </w:rPr>
        <w:t xml:space="preserve">Расходы на межбюджетные трансферты субъектам Российской Федерации из федерального бюджета в 2016 г. снижаются также по отношению к ВВП. Межбюджетные трансферты общего характера бюджетам субъектов Российской Федерации и муниципальных образований по отношению к ВВП сокращаются с 0,9% до 0,82% ВВП, что вызвано заметным уменьшением реальных размеров дотаций на поддержку мер по </w:t>
      </w:r>
      <w:r w:rsidRPr="00AC385D">
        <w:rPr>
          <w:rFonts w:ascii="Times New Roman" w:eastAsia="Calibri" w:hAnsi="Times New Roman" w:cs="Times New Roman"/>
          <w:sz w:val="26"/>
          <w:szCs w:val="26"/>
        </w:rPr>
        <w:lastRenderedPageBreak/>
        <w:t>обеспечению сбалансированности бюджетов. Общий объем межбюджетных трансфертов сокращается с 2,24% ВВП в 2015 г. до 2,01%.</w:t>
      </w:r>
    </w:p>
    <w:p w14:paraId="0B28B674" w14:textId="77777777" w:rsidR="008E3075" w:rsidRPr="00AC385D" w:rsidRDefault="008E3075" w:rsidP="00FF7754">
      <w:pPr>
        <w:spacing w:after="160"/>
        <w:jc w:val="center"/>
        <w:rPr>
          <w:rFonts w:ascii="Times New Roman" w:eastAsia="Calibri" w:hAnsi="Times New Roman" w:cs="Times New Roman"/>
          <w:b/>
          <w:sz w:val="26"/>
          <w:szCs w:val="26"/>
        </w:rPr>
      </w:pPr>
      <w:r w:rsidRPr="00AC385D">
        <w:rPr>
          <w:rFonts w:ascii="Times New Roman" w:eastAsia="Calibri" w:hAnsi="Times New Roman" w:cs="Times New Roman"/>
          <w:b/>
          <w:sz w:val="26"/>
          <w:szCs w:val="26"/>
        </w:rPr>
        <w:t xml:space="preserve">Таблица </w:t>
      </w:r>
      <w:r w:rsidR="00735EB0" w:rsidRPr="00AC385D">
        <w:rPr>
          <w:rFonts w:ascii="Times New Roman" w:eastAsia="Calibri" w:hAnsi="Times New Roman" w:cs="Times New Roman"/>
          <w:b/>
          <w:sz w:val="26"/>
          <w:szCs w:val="26"/>
        </w:rPr>
        <w:t>5</w:t>
      </w:r>
      <w:r w:rsidRPr="00AC385D">
        <w:rPr>
          <w:rFonts w:ascii="Times New Roman" w:eastAsia="Calibri" w:hAnsi="Times New Roman" w:cs="Times New Roman"/>
          <w:b/>
          <w:sz w:val="26"/>
          <w:szCs w:val="26"/>
        </w:rPr>
        <w:t xml:space="preserve">. Межбюджетные трансферты в 2014–2016 гг. </w:t>
      </w:r>
      <w:proofErr w:type="gramStart"/>
      <w:r w:rsidRPr="00AC385D">
        <w:rPr>
          <w:rFonts w:ascii="Times New Roman" w:eastAsia="Calibri" w:hAnsi="Times New Roman" w:cs="Times New Roman"/>
          <w:b/>
          <w:sz w:val="26"/>
          <w:szCs w:val="26"/>
        </w:rPr>
        <w:t>в</w:t>
      </w:r>
      <w:proofErr w:type="gramEnd"/>
      <w:r w:rsidRPr="00AC385D">
        <w:rPr>
          <w:rFonts w:ascii="Times New Roman" w:eastAsia="Calibri" w:hAnsi="Times New Roman" w:cs="Times New Roman"/>
          <w:b/>
          <w:sz w:val="26"/>
          <w:szCs w:val="26"/>
        </w:rPr>
        <w:t xml:space="preserve"> % к ВВП</w:t>
      </w:r>
    </w:p>
    <w:tbl>
      <w:tblPr>
        <w:tblStyle w:val="a8"/>
        <w:tblW w:w="9679" w:type="dxa"/>
        <w:jc w:val="center"/>
        <w:tblLook w:val="04A0" w:firstRow="1" w:lastRow="0" w:firstColumn="1" w:lastColumn="0" w:noHBand="0" w:noVBand="1"/>
      </w:tblPr>
      <w:tblGrid>
        <w:gridCol w:w="3539"/>
        <w:gridCol w:w="2046"/>
        <w:gridCol w:w="2047"/>
        <w:gridCol w:w="2047"/>
      </w:tblGrid>
      <w:tr w:rsidR="008E3075" w:rsidRPr="00FF7754" w14:paraId="53D428D6" w14:textId="77777777" w:rsidTr="006B3A18">
        <w:trPr>
          <w:jc w:val="center"/>
        </w:trPr>
        <w:tc>
          <w:tcPr>
            <w:tcW w:w="3539" w:type="dxa"/>
          </w:tcPr>
          <w:p w14:paraId="33EC2B86" w14:textId="77777777" w:rsidR="008E3075" w:rsidRPr="00FF7754" w:rsidRDefault="008E3075" w:rsidP="00AC385D">
            <w:pPr>
              <w:spacing w:line="276" w:lineRule="auto"/>
              <w:rPr>
                <w:rFonts w:ascii="Times New Roman" w:eastAsia="Calibri" w:hAnsi="Times New Roman" w:cs="Times New Roman"/>
                <w:lang w:val="ru-RU"/>
              </w:rPr>
            </w:pPr>
          </w:p>
        </w:tc>
        <w:tc>
          <w:tcPr>
            <w:tcW w:w="2046" w:type="dxa"/>
            <w:shd w:val="clear" w:color="auto" w:fill="auto"/>
            <w:vAlign w:val="center"/>
          </w:tcPr>
          <w:p w14:paraId="064E940B"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2014 г.</w:t>
            </w:r>
          </w:p>
        </w:tc>
        <w:tc>
          <w:tcPr>
            <w:tcW w:w="2047" w:type="dxa"/>
            <w:shd w:val="clear" w:color="auto" w:fill="auto"/>
            <w:vAlign w:val="center"/>
          </w:tcPr>
          <w:p w14:paraId="0F920DB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2015 г.</w:t>
            </w:r>
          </w:p>
        </w:tc>
        <w:tc>
          <w:tcPr>
            <w:tcW w:w="2047" w:type="dxa"/>
            <w:shd w:val="clear" w:color="auto" w:fill="auto"/>
            <w:vAlign w:val="center"/>
          </w:tcPr>
          <w:p w14:paraId="7125D7C9"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2016 г.*</w:t>
            </w:r>
          </w:p>
        </w:tc>
      </w:tr>
      <w:tr w:rsidR="008E3075" w:rsidRPr="00FF7754" w14:paraId="494CCCB8" w14:textId="77777777" w:rsidTr="006B3A18">
        <w:trPr>
          <w:jc w:val="center"/>
        </w:trPr>
        <w:tc>
          <w:tcPr>
            <w:tcW w:w="3539" w:type="dxa"/>
            <w:shd w:val="clear" w:color="auto" w:fill="auto"/>
            <w:vAlign w:val="center"/>
          </w:tcPr>
          <w:p w14:paraId="0D2F8C76"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 xml:space="preserve">Межбюджетные трансферты общего характера бюджетам субъектов Российской Федерации и муниципальных образований, в </w:t>
            </w:r>
            <w:proofErr w:type="spellStart"/>
            <w:r w:rsidRPr="00FF7754">
              <w:rPr>
                <w:rFonts w:ascii="Times New Roman" w:eastAsia="Calibri" w:hAnsi="Times New Roman" w:cs="Times New Roman"/>
                <w:lang w:val="ru-RU"/>
              </w:rPr>
              <w:t>т.ч</w:t>
            </w:r>
            <w:proofErr w:type="spellEnd"/>
            <w:r w:rsidRPr="00FF7754">
              <w:rPr>
                <w:rFonts w:ascii="Times New Roman" w:eastAsia="Calibri" w:hAnsi="Times New Roman" w:cs="Times New Roman"/>
                <w:lang w:val="ru-RU"/>
              </w:rPr>
              <w:t>.:</w:t>
            </w:r>
          </w:p>
        </w:tc>
        <w:tc>
          <w:tcPr>
            <w:tcW w:w="2046" w:type="dxa"/>
            <w:shd w:val="clear" w:color="auto" w:fill="auto"/>
            <w:vAlign w:val="center"/>
          </w:tcPr>
          <w:p w14:paraId="742C41D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1,08</w:t>
            </w:r>
          </w:p>
        </w:tc>
        <w:tc>
          <w:tcPr>
            <w:tcW w:w="2047" w:type="dxa"/>
            <w:shd w:val="clear" w:color="auto" w:fill="auto"/>
            <w:vAlign w:val="center"/>
          </w:tcPr>
          <w:p w14:paraId="60E7A190"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0,90</w:t>
            </w:r>
          </w:p>
        </w:tc>
        <w:tc>
          <w:tcPr>
            <w:tcW w:w="2047" w:type="dxa"/>
            <w:shd w:val="clear" w:color="auto" w:fill="auto"/>
            <w:vAlign w:val="center"/>
          </w:tcPr>
          <w:p w14:paraId="312DE8E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0,82</w:t>
            </w:r>
          </w:p>
        </w:tc>
      </w:tr>
      <w:tr w:rsidR="008E3075" w:rsidRPr="00FF7754" w14:paraId="1B360A4B" w14:textId="77777777" w:rsidTr="006B3A18">
        <w:trPr>
          <w:jc w:val="center"/>
        </w:trPr>
        <w:tc>
          <w:tcPr>
            <w:tcW w:w="3539" w:type="dxa"/>
            <w:shd w:val="clear" w:color="auto" w:fill="auto"/>
            <w:vAlign w:val="center"/>
          </w:tcPr>
          <w:p w14:paraId="225690C7"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выравнивание бюджетной обеспеченности субъектов Российской Федерации</w:t>
            </w:r>
          </w:p>
        </w:tc>
        <w:tc>
          <w:tcPr>
            <w:tcW w:w="2046" w:type="dxa"/>
            <w:shd w:val="clear" w:color="auto" w:fill="auto"/>
            <w:vAlign w:val="center"/>
          </w:tcPr>
          <w:p w14:paraId="6DFCE547"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0,62</w:t>
            </w:r>
          </w:p>
        </w:tc>
        <w:tc>
          <w:tcPr>
            <w:tcW w:w="2047" w:type="dxa"/>
            <w:shd w:val="clear" w:color="auto" w:fill="auto"/>
            <w:vAlign w:val="center"/>
          </w:tcPr>
          <w:p w14:paraId="19F4BD7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0,66</w:t>
            </w:r>
          </w:p>
        </w:tc>
        <w:tc>
          <w:tcPr>
            <w:tcW w:w="2047" w:type="dxa"/>
            <w:shd w:val="clear" w:color="auto" w:fill="auto"/>
            <w:vAlign w:val="center"/>
          </w:tcPr>
          <w:p w14:paraId="5D1574FE"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0,65</w:t>
            </w:r>
          </w:p>
        </w:tc>
      </w:tr>
      <w:tr w:rsidR="008E3075" w:rsidRPr="00FF7754" w14:paraId="4C8D75FF" w14:textId="77777777" w:rsidTr="006B3A18">
        <w:trPr>
          <w:jc w:val="center"/>
        </w:trPr>
        <w:tc>
          <w:tcPr>
            <w:tcW w:w="3539" w:type="dxa"/>
            <w:shd w:val="clear" w:color="auto" w:fill="auto"/>
            <w:vAlign w:val="center"/>
          </w:tcPr>
          <w:p w14:paraId="0335A6CF"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дотации на поддержку мер по обеспечению сбалансированности бюджетов</w:t>
            </w:r>
          </w:p>
        </w:tc>
        <w:tc>
          <w:tcPr>
            <w:tcW w:w="2046" w:type="dxa"/>
            <w:shd w:val="clear" w:color="auto" w:fill="auto"/>
            <w:vAlign w:val="center"/>
          </w:tcPr>
          <w:p w14:paraId="3C4CF23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0,47</w:t>
            </w:r>
          </w:p>
        </w:tc>
        <w:tc>
          <w:tcPr>
            <w:tcW w:w="2047" w:type="dxa"/>
            <w:shd w:val="clear" w:color="auto" w:fill="auto"/>
            <w:vAlign w:val="center"/>
          </w:tcPr>
          <w:p w14:paraId="6EF52FD3"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0,24</w:t>
            </w:r>
          </w:p>
        </w:tc>
        <w:tc>
          <w:tcPr>
            <w:tcW w:w="2047" w:type="dxa"/>
            <w:shd w:val="clear" w:color="auto" w:fill="auto"/>
            <w:vAlign w:val="center"/>
          </w:tcPr>
          <w:p w14:paraId="4F38AE8F"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0,17</w:t>
            </w:r>
          </w:p>
        </w:tc>
      </w:tr>
      <w:tr w:rsidR="008E3075" w:rsidRPr="00FF7754" w14:paraId="047A92BF" w14:textId="77777777" w:rsidTr="006B3A18">
        <w:trPr>
          <w:jc w:val="center"/>
        </w:trPr>
        <w:tc>
          <w:tcPr>
            <w:tcW w:w="3539" w:type="dxa"/>
            <w:shd w:val="clear" w:color="auto" w:fill="auto"/>
            <w:vAlign w:val="center"/>
          </w:tcPr>
          <w:p w14:paraId="69F48D81"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Субсидии</w:t>
            </w:r>
            <w:proofErr w:type="spellEnd"/>
          </w:p>
        </w:tc>
        <w:tc>
          <w:tcPr>
            <w:tcW w:w="2046" w:type="dxa"/>
            <w:shd w:val="clear" w:color="auto" w:fill="auto"/>
            <w:vAlign w:val="center"/>
          </w:tcPr>
          <w:p w14:paraId="65E56DD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0,57</w:t>
            </w:r>
          </w:p>
        </w:tc>
        <w:tc>
          <w:tcPr>
            <w:tcW w:w="2047" w:type="dxa"/>
            <w:shd w:val="clear" w:color="auto" w:fill="auto"/>
            <w:vAlign w:val="center"/>
          </w:tcPr>
          <w:p w14:paraId="2DB3EB76"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0,58</w:t>
            </w:r>
          </w:p>
        </w:tc>
        <w:tc>
          <w:tcPr>
            <w:tcW w:w="2047" w:type="dxa"/>
            <w:shd w:val="clear" w:color="auto" w:fill="auto"/>
            <w:vAlign w:val="center"/>
          </w:tcPr>
          <w:p w14:paraId="6A5CC83C"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0,45</w:t>
            </w:r>
          </w:p>
        </w:tc>
      </w:tr>
      <w:tr w:rsidR="008E3075" w:rsidRPr="00FF7754" w14:paraId="3A26780D" w14:textId="77777777" w:rsidTr="006B3A18">
        <w:trPr>
          <w:jc w:val="center"/>
        </w:trPr>
        <w:tc>
          <w:tcPr>
            <w:tcW w:w="3539" w:type="dxa"/>
            <w:shd w:val="clear" w:color="auto" w:fill="auto"/>
            <w:vAlign w:val="center"/>
          </w:tcPr>
          <w:p w14:paraId="6D5C60E8"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Субвенции</w:t>
            </w:r>
            <w:proofErr w:type="spellEnd"/>
          </w:p>
        </w:tc>
        <w:tc>
          <w:tcPr>
            <w:tcW w:w="2046" w:type="dxa"/>
            <w:shd w:val="clear" w:color="auto" w:fill="auto"/>
            <w:vAlign w:val="center"/>
          </w:tcPr>
          <w:p w14:paraId="0BFE94FA"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0,43</w:t>
            </w:r>
          </w:p>
        </w:tc>
        <w:tc>
          <w:tcPr>
            <w:tcW w:w="2047" w:type="dxa"/>
            <w:shd w:val="clear" w:color="auto" w:fill="auto"/>
            <w:vAlign w:val="center"/>
          </w:tcPr>
          <w:p w14:paraId="40A5F57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0,49</w:t>
            </w:r>
          </w:p>
        </w:tc>
        <w:tc>
          <w:tcPr>
            <w:tcW w:w="2047" w:type="dxa"/>
            <w:shd w:val="clear" w:color="auto" w:fill="auto"/>
            <w:vAlign w:val="center"/>
          </w:tcPr>
          <w:p w14:paraId="39C79EDE"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0,41</w:t>
            </w:r>
          </w:p>
        </w:tc>
      </w:tr>
      <w:tr w:rsidR="008E3075" w:rsidRPr="00FF7754" w14:paraId="423D704D" w14:textId="77777777" w:rsidTr="006B3A18">
        <w:trPr>
          <w:jc w:val="center"/>
        </w:trPr>
        <w:tc>
          <w:tcPr>
            <w:tcW w:w="3539" w:type="dxa"/>
            <w:shd w:val="clear" w:color="auto" w:fill="auto"/>
            <w:vAlign w:val="center"/>
          </w:tcPr>
          <w:p w14:paraId="70D8568C"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межбюджетные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трансферты</w:t>
            </w:r>
            <w:proofErr w:type="spellEnd"/>
          </w:p>
        </w:tc>
        <w:tc>
          <w:tcPr>
            <w:tcW w:w="2046" w:type="dxa"/>
            <w:shd w:val="clear" w:color="auto" w:fill="auto"/>
            <w:vAlign w:val="center"/>
          </w:tcPr>
          <w:p w14:paraId="367D322B"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0,16</w:t>
            </w:r>
          </w:p>
        </w:tc>
        <w:tc>
          <w:tcPr>
            <w:tcW w:w="2047" w:type="dxa"/>
            <w:shd w:val="clear" w:color="auto" w:fill="auto"/>
            <w:vAlign w:val="center"/>
          </w:tcPr>
          <w:p w14:paraId="7BFA7874"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0,26</w:t>
            </w:r>
          </w:p>
        </w:tc>
        <w:tc>
          <w:tcPr>
            <w:tcW w:w="2047" w:type="dxa"/>
            <w:shd w:val="clear" w:color="auto" w:fill="auto"/>
            <w:vAlign w:val="center"/>
          </w:tcPr>
          <w:p w14:paraId="52EBFC5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0,33</w:t>
            </w:r>
          </w:p>
        </w:tc>
      </w:tr>
      <w:tr w:rsidR="008E3075" w:rsidRPr="00FF7754" w14:paraId="3BFAC4D3" w14:textId="77777777" w:rsidTr="006B3A18">
        <w:trPr>
          <w:jc w:val="center"/>
        </w:trPr>
        <w:tc>
          <w:tcPr>
            <w:tcW w:w="3539" w:type="dxa"/>
            <w:shd w:val="clear" w:color="auto" w:fill="auto"/>
            <w:vAlign w:val="center"/>
          </w:tcPr>
          <w:p w14:paraId="4A09FEC2"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Итого</w:t>
            </w:r>
            <w:proofErr w:type="spellEnd"/>
          </w:p>
        </w:tc>
        <w:tc>
          <w:tcPr>
            <w:tcW w:w="2046" w:type="dxa"/>
            <w:shd w:val="clear" w:color="auto" w:fill="auto"/>
            <w:vAlign w:val="center"/>
          </w:tcPr>
          <w:p w14:paraId="7C7F2892"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2,25</w:t>
            </w:r>
          </w:p>
        </w:tc>
        <w:tc>
          <w:tcPr>
            <w:tcW w:w="2047" w:type="dxa"/>
            <w:shd w:val="clear" w:color="auto" w:fill="auto"/>
            <w:vAlign w:val="center"/>
          </w:tcPr>
          <w:p w14:paraId="35446FE9"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2,24</w:t>
            </w:r>
          </w:p>
        </w:tc>
        <w:tc>
          <w:tcPr>
            <w:tcW w:w="2047" w:type="dxa"/>
            <w:shd w:val="clear" w:color="auto" w:fill="auto"/>
            <w:vAlign w:val="center"/>
          </w:tcPr>
          <w:p w14:paraId="1D8615B0"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w:t>
            </w:r>
          </w:p>
        </w:tc>
      </w:tr>
    </w:tbl>
    <w:p w14:paraId="1E5D9BDC" w14:textId="77777777" w:rsidR="008E3075" w:rsidRPr="00FF7754" w:rsidRDefault="008E3075" w:rsidP="00FF7754">
      <w:pPr>
        <w:spacing w:after="0"/>
        <w:jc w:val="center"/>
        <w:rPr>
          <w:rFonts w:ascii="Times New Roman" w:eastAsia="Calibri" w:hAnsi="Times New Roman" w:cs="Times New Roman"/>
          <w:i/>
        </w:rPr>
      </w:pPr>
      <w:r w:rsidRPr="00FF7754">
        <w:rPr>
          <w:rFonts w:ascii="Times New Roman" w:eastAsia="Calibri" w:hAnsi="Times New Roman" w:cs="Times New Roman"/>
          <w:i/>
        </w:rPr>
        <w:t>Примечание: для расчета отношения в 2016г. использован размер ВВП по базовому вариант прогноза МЭР до 2018 г.</w:t>
      </w:r>
    </w:p>
    <w:p w14:paraId="08310C29" w14:textId="77777777" w:rsidR="00174128" w:rsidRPr="00AC385D" w:rsidRDefault="00174128" w:rsidP="00AC385D">
      <w:pPr>
        <w:spacing w:after="160"/>
        <w:ind w:firstLine="720"/>
        <w:jc w:val="both"/>
        <w:rPr>
          <w:rFonts w:ascii="Times New Roman" w:eastAsia="Calibri" w:hAnsi="Times New Roman" w:cs="Times New Roman"/>
          <w:sz w:val="26"/>
          <w:szCs w:val="26"/>
        </w:rPr>
      </w:pPr>
    </w:p>
    <w:p w14:paraId="5CAC2E13" w14:textId="77777777" w:rsidR="008E3075" w:rsidRPr="00AC385D" w:rsidRDefault="008E3075" w:rsidP="00AC385D">
      <w:pPr>
        <w:spacing w:after="160"/>
        <w:ind w:firstLine="720"/>
        <w:jc w:val="both"/>
        <w:rPr>
          <w:rFonts w:ascii="Times New Roman" w:eastAsia="Calibri" w:hAnsi="Times New Roman" w:cs="Times New Roman"/>
          <w:sz w:val="26"/>
          <w:szCs w:val="26"/>
        </w:rPr>
      </w:pPr>
      <w:r w:rsidRPr="00AC385D">
        <w:rPr>
          <w:rFonts w:ascii="Times New Roman" w:eastAsia="Calibri" w:hAnsi="Times New Roman" w:cs="Times New Roman"/>
          <w:sz w:val="26"/>
          <w:szCs w:val="26"/>
        </w:rPr>
        <w:t xml:space="preserve">Доля расходов на межбюджетные трансферты из федерального бюджета субъектам Российской Федерации в 2016 году также снижается по отношению </w:t>
      </w:r>
      <w:r w:rsidR="00735EB0" w:rsidRPr="00AC385D">
        <w:rPr>
          <w:rFonts w:ascii="Times New Roman" w:eastAsia="Calibri" w:hAnsi="Times New Roman" w:cs="Times New Roman"/>
          <w:sz w:val="26"/>
          <w:szCs w:val="26"/>
        </w:rPr>
        <w:t>к</w:t>
      </w:r>
      <w:r w:rsidRPr="00AC385D">
        <w:rPr>
          <w:rFonts w:ascii="Times New Roman" w:eastAsia="Calibri" w:hAnsi="Times New Roman" w:cs="Times New Roman"/>
          <w:sz w:val="26"/>
          <w:szCs w:val="26"/>
        </w:rPr>
        <w:t xml:space="preserve"> общему объему расходов федерального бюджета. Межбюджетные трансферты общего характера бюджетам субъектов Российской Федерации и муниципальных образований сокращаются из-за снижения удельного веса дотаций на поддержку мер по обеспечению сбалансированности бюджетов в общих объемах расходов федерального бюджета. Субсидии и субвенции также уменьшаются по отношению к общему объему расходов федерального бюджета.</w:t>
      </w:r>
    </w:p>
    <w:p w14:paraId="54707D0C" w14:textId="77777777" w:rsidR="008E3075" w:rsidRPr="00AC385D" w:rsidRDefault="008E3075" w:rsidP="00FF7754">
      <w:pPr>
        <w:spacing w:after="160"/>
        <w:jc w:val="center"/>
        <w:rPr>
          <w:rFonts w:ascii="Times New Roman" w:eastAsia="Calibri" w:hAnsi="Times New Roman" w:cs="Times New Roman"/>
          <w:b/>
          <w:sz w:val="26"/>
          <w:szCs w:val="26"/>
        </w:rPr>
      </w:pPr>
      <w:r w:rsidRPr="00AC385D">
        <w:rPr>
          <w:rFonts w:ascii="Times New Roman" w:eastAsia="Calibri" w:hAnsi="Times New Roman" w:cs="Times New Roman"/>
          <w:b/>
          <w:sz w:val="26"/>
          <w:szCs w:val="26"/>
        </w:rPr>
        <w:t xml:space="preserve">Таблица </w:t>
      </w:r>
      <w:r w:rsidR="00735EB0" w:rsidRPr="00AC385D">
        <w:rPr>
          <w:rFonts w:ascii="Times New Roman" w:eastAsia="Calibri" w:hAnsi="Times New Roman" w:cs="Times New Roman"/>
          <w:b/>
          <w:sz w:val="26"/>
          <w:szCs w:val="26"/>
        </w:rPr>
        <w:t>6</w:t>
      </w:r>
      <w:r w:rsidRPr="00AC385D">
        <w:rPr>
          <w:rFonts w:ascii="Times New Roman" w:eastAsia="Calibri" w:hAnsi="Times New Roman" w:cs="Times New Roman"/>
          <w:b/>
          <w:sz w:val="26"/>
          <w:szCs w:val="26"/>
        </w:rPr>
        <w:t xml:space="preserve">. Межбюджетные трансферты в 2015–2016 гг. </w:t>
      </w:r>
      <w:proofErr w:type="gramStart"/>
      <w:r w:rsidRPr="00AC385D">
        <w:rPr>
          <w:rFonts w:ascii="Times New Roman" w:eastAsia="Calibri" w:hAnsi="Times New Roman" w:cs="Times New Roman"/>
          <w:b/>
          <w:sz w:val="26"/>
          <w:szCs w:val="26"/>
        </w:rPr>
        <w:t>в</w:t>
      </w:r>
      <w:proofErr w:type="gramEnd"/>
      <w:r w:rsidRPr="00AC385D">
        <w:rPr>
          <w:rFonts w:ascii="Times New Roman" w:eastAsia="Calibri" w:hAnsi="Times New Roman" w:cs="Times New Roman"/>
          <w:b/>
          <w:sz w:val="26"/>
          <w:szCs w:val="26"/>
        </w:rPr>
        <w:t xml:space="preserve"> % к общему объему расходов федерального бюджета</w:t>
      </w:r>
    </w:p>
    <w:tbl>
      <w:tblPr>
        <w:tblStyle w:val="a8"/>
        <w:tblW w:w="8838" w:type="dxa"/>
        <w:jc w:val="center"/>
        <w:tblLook w:val="04A0" w:firstRow="1" w:lastRow="0" w:firstColumn="1" w:lastColumn="0" w:noHBand="0" w:noVBand="1"/>
      </w:tblPr>
      <w:tblGrid>
        <w:gridCol w:w="4098"/>
        <w:gridCol w:w="2370"/>
        <w:gridCol w:w="2370"/>
      </w:tblGrid>
      <w:tr w:rsidR="008E3075" w:rsidRPr="00FF7754" w14:paraId="154240D1" w14:textId="77777777" w:rsidTr="006B3A18">
        <w:trPr>
          <w:trHeight w:val="20"/>
          <w:jc w:val="center"/>
        </w:trPr>
        <w:tc>
          <w:tcPr>
            <w:tcW w:w="4098" w:type="dxa"/>
          </w:tcPr>
          <w:p w14:paraId="7A7A0FA5" w14:textId="77777777" w:rsidR="008E3075" w:rsidRPr="00FF7754" w:rsidRDefault="008E3075" w:rsidP="00AC385D">
            <w:pPr>
              <w:spacing w:line="276" w:lineRule="auto"/>
              <w:rPr>
                <w:rFonts w:ascii="Times New Roman" w:eastAsia="Calibri" w:hAnsi="Times New Roman" w:cs="Times New Roman"/>
                <w:lang w:val="ru-RU"/>
              </w:rPr>
            </w:pPr>
          </w:p>
        </w:tc>
        <w:tc>
          <w:tcPr>
            <w:tcW w:w="2370" w:type="dxa"/>
            <w:shd w:val="clear" w:color="auto" w:fill="auto"/>
            <w:vAlign w:val="center"/>
          </w:tcPr>
          <w:p w14:paraId="37B7286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2015 г.</w:t>
            </w:r>
          </w:p>
        </w:tc>
        <w:tc>
          <w:tcPr>
            <w:tcW w:w="2370" w:type="dxa"/>
            <w:shd w:val="clear" w:color="auto" w:fill="auto"/>
            <w:vAlign w:val="center"/>
          </w:tcPr>
          <w:p w14:paraId="08969E44"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2016 г.</w:t>
            </w:r>
          </w:p>
        </w:tc>
      </w:tr>
      <w:tr w:rsidR="008E3075" w:rsidRPr="00FF7754" w14:paraId="17823721" w14:textId="77777777" w:rsidTr="006B3A18">
        <w:trPr>
          <w:trHeight w:val="20"/>
          <w:jc w:val="center"/>
        </w:trPr>
        <w:tc>
          <w:tcPr>
            <w:tcW w:w="4098" w:type="dxa"/>
            <w:shd w:val="clear" w:color="auto" w:fill="auto"/>
            <w:vAlign w:val="center"/>
          </w:tcPr>
          <w:p w14:paraId="29BD488D"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 xml:space="preserve">Межбюджетные трансферты общего характера бюджетам субъектов Российской Федерации и муниципальных образований, в </w:t>
            </w:r>
            <w:proofErr w:type="spellStart"/>
            <w:r w:rsidRPr="00FF7754">
              <w:rPr>
                <w:rFonts w:ascii="Times New Roman" w:eastAsia="Calibri" w:hAnsi="Times New Roman" w:cs="Times New Roman"/>
                <w:lang w:val="ru-RU"/>
              </w:rPr>
              <w:t>т.ч</w:t>
            </w:r>
            <w:proofErr w:type="spellEnd"/>
            <w:r w:rsidRPr="00FF7754">
              <w:rPr>
                <w:rFonts w:ascii="Times New Roman" w:eastAsia="Calibri" w:hAnsi="Times New Roman" w:cs="Times New Roman"/>
                <w:lang w:val="ru-RU"/>
              </w:rPr>
              <w:t>.:</w:t>
            </w:r>
          </w:p>
        </w:tc>
        <w:tc>
          <w:tcPr>
            <w:tcW w:w="2370" w:type="dxa"/>
            <w:shd w:val="clear" w:color="auto" w:fill="auto"/>
            <w:vAlign w:val="center"/>
          </w:tcPr>
          <w:p w14:paraId="5D950CA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4,3</w:t>
            </w:r>
          </w:p>
        </w:tc>
        <w:tc>
          <w:tcPr>
            <w:tcW w:w="2370" w:type="dxa"/>
            <w:shd w:val="clear" w:color="auto" w:fill="auto"/>
            <w:vAlign w:val="center"/>
          </w:tcPr>
          <w:p w14:paraId="3A137527"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4,0</w:t>
            </w:r>
          </w:p>
        </w:tc>
      </w:tr>
      <w:tr w:rsidR="008E3075" w:rsidRPr="00FF7754" w14:paraId="31F406A0" w14:textId="77777777" w:rsidTr="006B3A18">
        <w:trPr>
          <w:trHeight w:val="20"/>
          <w:jc w:val="center"/>
        </w:trPr>
        <w:tc>
          <w:tcPr>
            <w:tcW w:w="4098" w:type="dxa"/>
            <w:shd w:val="clear" w:color="auto" w:fill="auto"/>
            <w:vAlign w:val="center"/>
          </w:tcPr>
          <w:p w14:paraId="7989BE48"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t xml:space="preserve">выравнивание бюджетной обеспеченности субъектов Российской </w:t>
            </w:r>
            <w:r w:rsidRPr="00FF7754">
              <w:rPr>
                <w:rFonts w:ascii="Times New Roman" w:eastAsia="Calibri" w:hAnsi="Times New Roman" w:cs="Times New Roman"/>
                <w:lang w:val="ru-RU"/>
              </w:rPr>
              <w:lastRenderedPageBreak/>
              <w:t>Федерации</w:t>
            </w:r>
          </w:p>
        </w:tc>
        <w:tc>
          <w:tcPr>
            <w:tcW w:w="2370" w:type="dxa"/>
            <w:shd w:val="clear" w:color="auto" w:fill="auto"/>
            <w:vAlign w:val="center"/>
          </w:tcPr>
          <w:p w14:paraId="3455D36F"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lastRenderedPageBreak/>
              <w:t>3,2</w:t>
            </w:r>
          </w:p>
        </w:tc>
        <w:tc>
          <w:tcPr>
            <w:tcW w:w="2370" w:type="dxa"/>
            <w:shd w:val="clear" w:color="auto" w:fill="auto"/>
            <w:vAlign w:val="center"/>
          </w:tcPr>
          <w:p w14:paraId="5B9D05CA"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3,2</w:t>
            </w:r>
          </w:p>
        </w:tc>
      </w:tr>
      <w:tr w:rsidR="008E3075" w:rsidRPr="00FF7754" w14:paraId="479DE790" w14:textId="77777777" w:rsidTr="006B3A18">
        <w:trPr>
          <w:trHeight w:val="20"/>
          <w:jc w:val="center"/>
        </w:trPr>
        <w:tc>
          <w:tcPr>
            <w:tcW w:w="4098" w:type="dxa"/>
            <w:shd w:val="clear" w:color="auto" w:fill="auto"/>
            <w:vAlign w:val="center"/>
          </w:tcPr>
          <w:p w14:paraId="79AF05B5" w14:textId="77777777" w:rsidR="008E3075" w:rsidRPr="00FF7754" w:rsidRDefault="008E3075" w:rsidP="00AC385D">
            <w:pPr>
              <w:spacing w:after="160" w:line="276" w:lineRule="auto"/>
              <w:jc w:val="both"/>
              <w:rPr>
                <w:rFonts w:ascii="Times New Roman" w:eastAsia="Calibri" w:hAnsi="Times New Roman" w:cs="Times New Roman"/>
                <w:lang w:val="ru-RU"/>
              </w:rPr>
            </w:pPr>
            <w:r w:rsidRPr="00FF7754">
              <w:rPr>
                <w:rFonts w:ascii="Times New Roman" w:eastAsia="Calibri" w:hAnsi="Times New Roman" w:cs="Times New Roman"/>
                <w:lang w:val="ru-RU"/>
              </w:rPr>
              <w:lastRenderedPageBreak/>
              <w:t>дотации на поддержку мер по обеспечению сбалансированности бюджетов</w:t>
            </w:r>
          </w:p>
        </w:tc>
        <w:tc>
          <w:tcPr>
            <w:tcW w:w="2370" w:type="dxa"/>
            <w:shd w:val="clear" w:color="auto" w:fill="auto"/>
            <w:vAlign w:val="center"/>
          </w:tcPr>
          <w:p w14:paraId="4A7AEBF0"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1,1</w:t>
            </w:r>
          </w:p>
        </w:tc>
        <w:tc>
          <w:tcPr>
            <w:tcW w:w="2370" w:type="dxa"/>
            <w:shd w:val="clear" w:color="auto" w:fill="auto"/>
            <w:vAlign w:val="center"/>
          </w:tcPr>
          <w:p w14:paraId="68BA2157"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0,8</w:t>
            </w:r>
          </w:p>
        </w:tc>
      </w:tr>
      <w:tr w:rsidR="008E3075" w:rsidRPr="00FF7754" w14:paraId="0A7655D4" w14:textId="77777777" w:rsidTr="006B3A18">
        <w:trPr>
          <w:trHeight w:val="20"/>
          <w:jc w:val="center"/>
        </w:trPr>
        <w:tc>
          <w:tcPr>
            <w:tcW w:w="4098" w:type="dxa"/>
            <w:shd w:val="clear" w:color="auto" w:fill="auto"/>
            <w:vAlign w:val="center"/>
          </w:tcPr>
          <w:p w14:paraId="0FC95ACE"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Субсидии</w:t>
            </w:r>
            <w:proofErr w:type="spellEnd"/>
          </w:p>
        </w:tc>
        <w:tc>
          <w:tcPr>
            <w:tcW w:w="2370" w:type="dxa"/>
            <w:shd w:val="clear" w:color="auto" w:fill="auto"/>
            <w:vAlign w:val="center"/>
          </w:tcPr>
          <w:p w14:paraId="3AAD3BFF"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2,8</w:t>
            </w:r>
          </w:p>
        </w:tc>
        <w:tc>
          <w:tcPr>
            <w:tcW w:w="2370" w:type="dxa"/>
            <w:shd w:val="clear" w:color="auto" w:fill="auto"/>
            <w:vAlign w:val="center"/>
          </w:tcPr>
          <w:p w14:paraId="22E37117"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2,2</w:t>
            </w:r>
          </w:p>
        </w:tc>
      </w:tr>
      <w:tr w:rsidR="008E3075" w:rsidRPr="00FF7754" w14:paraId="0DD062EB" w14:textId="77777777" w:rsidTr="006B3A18">
        <w:trPr>
          <w:trHeight w:val="20"/>
          <w:jc w:val="center"/>
        </w:trPr>
        <w:tc>
          <w:tcPr>
            <w:tcW w:w="4098" w:type="dxa"/>
            <w:shd w:val="clear" w:color="auto" w:fill="auto"/>
            <w:vAlign w:val="center"/>
          </w:tcPr>
          <w:p w14:paraId="78C74AA7"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Субвенции</w:t>
            </w:r>
            <w:proofErr w:type="spellEnd"/>
          </w:p>
        </w:tc>
        <w:tc>
          <w:tcPr>
            <w:tcW w:w="2370" w:type="dxa"/>
            <w:shd w:val="clear" w:color="auto" w:fill="auto"/>
            <w:vAlign w:val="center"/>
          </w:tcPr>
          <w:p w14:paraId="1087E20E"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2,4</w:t>
            </w:r>
          </w:p>
        </w:tc>
        <w:tc>
          <w:tcPr>
            <w:tcW w:w="2370" w:type="dxa"/>
            <w:shd w:val="clear" w:color="auto" w:fill="auto"/>
            <w:vAlign w:val="center"/>
          </w:tcPr>
          <w:p w14:paraId="47F7F074"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2,0</w:t>
            </w:r>
          </w:p>
        </w:tc>
      </w:tr>
      <w:tr w:rsidR="008E3075" w:rsidRPr="00FF7754" w14:paraId="25C8A7F8" w14:textId="77777777" w:rsidTr="006B3A18">
        <w:trPr>
          <w:trHeight w:val="20"/>
          <w:jc w:val="center"/>
        </w:trPr>
        <w:tc>
          <w:tcPr>
            <w:tcW w:w="4098" w:type="dxa"/>
            <w:shd w:val="clear" w:color="auto" w:fill="auto"/>
            <w:vAlign w:val="center"/>
          </w:tcPr>
          <w:p w14:paraId="0E6F7D82"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межбюджетные</w:t>
            </w:r>
            <w:proofErr w:type="spellEnd"/>
            <w:r w:rsidRPr="00FF7754">
              <w:rPr>
                <w:rFonts w:ascii="Times New Roman" w:eastAsia="Calibri" w:hAnsi="Times New Roman" w:cs="Times New Roman"/>
              </w:rPr>
              <w:t xml:space="preserve"> </w:t>
            </w:r>
            <w:proofErr w:type="spellStart"/>
            <w:r w:rsidRPr="00FF7754">
              <w:rPr>
                <w:rFonts w:ascii="Times New Roman" w:eastAsia="Calibri" w:hAnsi="Times New Roman" w:cs="Times New Roman"/>
              </w:rPr>
              <w:t>трансферты</w:t>
            </w:r>
            <w:proofErr w:type="spellEnd"/>
          </w:p>
        </w:tc>
        <w:tc>
          <w:tcPr>
            <w:tcW w:w="2370" w:type="dxa"/>
            <w:shd w:val="clear" w:color="auto" w:fill="auto"/>
            <w:vAlign w:val="center"/>
          </w:tcPr>
          <w:p w14:paraId="662E972D"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1,2</w:t>
            </w:r>
          </w:p>
        </w:tc>
        <w:tc>
          <w:tcPr>
            <w:tcW w:w="2370" w:type="dxa"/>
            <w:shd w:val="clear" w:color="auto" w:fill="auto"/>
            <w:vAlign w:val="center"/>
          </w:tcPr>
          <w:p w14:paraId="246A86F8"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1,6</w:t>
            </w:r>
          </w:p>
        </w:tc>
      </w:tr>
      <w:tr w:rsidR="008E3075" w:rsidRPr="00FF7754" w14:paraId="6494D7BE" w14:textId="77777777" w:rsidTr="006B3A18">
        <w:trPr>
          <w:trHeight w:val="20"/>
          <w:jc w:val="center"/>
        </w:trPr>
        <w:tc>
          <w:tcPr>
            <w:tcW w:w="4098" w:type="dxa"/>
            <w:shd w:val="clear" w:color="auto" w:fill="auto"/>
            <w:vAlign w:val="center"/>
          </w:tcPr>
          <w:p w14:paraId="1DE0A0B3" w14:textId="77777777" w:rsidR="008E3075" w:rsidRPr="00FF7754" w:rsidRDefault="008E3075" w:rsidP="00AC385D">
            <w:pPr>
              <w:spacing w:after="160" w:line="276" w:lineRule="auto"/>
              <w:jc w:val="both"/>
              <w:rPr>
                <w:rFonts w:ascii="Times New Roman" w:eastAsia="Calibri" w:hAnsi="Times New Roman" w:cs="Times New Roman"/>
              </w:rPr>
            </w:pPr>
            <w:proofErr w:type="spellStart"/>
            <w:r w:rsidRPr="00FF7754">
              <w:rPr>
                <w:rFonts w:ascii="Times New Roman" w:eastAsia="Calibri" w:hAnsi="Times New Roman" w:cs="Times New Roman"/>
              </w:rPr>
              <w:t>Итого</w:t>
            </w:r>
            <w:proofErr w:type="spellEnd"/>
          </w:p>
        </w:tc>
        <w:tc>
          <w:tcPr>
            <w:tcW w:w="2370" w:type="dxa"/>
            <w:shd w:val="clear" w:color="auto" w:fill="auto"/>
            <w:vAlign w:val="center"/>
          </w:tcPr>
          <w:p w14:paraId="4D81B111"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10,7</w:t>
            </w:r>
          </w:p>
        </w:tc>
        <w:tc>
          <w:tcPr>
            <w:tcW w:w="2370" w:type="dxa"/>
            <w:shd w:val="clear" w:color="auto" w:fill="auto"/>
            <w:vAlign w:val="center"/>
          </w:tcPr>
          <w:p w14:paraId="0372C24E" w14:textId="77777777" w:rsidR="008E3075" w:rsidRPr="00FF7754" w:rsidRDefault="008E3075" w:rsidP="00AC385D">
            <w:pPr>
              <w:spacing w:after="160" w:line="276" w:lineRule="auto"/>
              <w:jc w:val="center"/>
              <w:rPr>
                <w:rFonts w:ascii="Times New Roman" w:eastAsia="Calibri" w:hAnsi="Times New Roman" w:cs="Times New Roman"/>
              </w:rPr>
            </w:pPr>
            <w:r w:rsidRPr="00FF7754">
              <w:rPr>
                <w:rFonts w:ascii="Times New Roman" w:eastAsia="Calibri" w:hAnsi="Times New Roman" w:cs="Times New Roman"/>
              </w:rPr>
              <w:t>9,8</w:t>
            </w:r>
          </w:p>
        </w:tc>
      </w:tr>
    </w:tbl>
    <w:p w14:paraId="3D2570B6" w14:textId="77777777" w:rsidR="00FF7754" w:rsidRDefault="00FF7754" w:rsidP="00AC385D">
      <w:pPr>
        <w:ind w:firstLine="709"/>
        <w:jc w:val="both"/>
        <w:rPr>
          <w:rFonts w:ascii="Times New Roman" w:eastAsia="Calibri" w:hAnsi="Times New Roman" w:cs="Times New Roman"/>
          <w:sz w:val="26"/>
          <w:szCs w:val="26"/>
        </w:rPr>
      </w:pPr>
    </w:p>
    <w:p w14:paraId="6061C40A" w14:textId="77777777" w:rsidR="00520070" w:rsidRPr="008D22BE" w:rsidRDefault="008E3075" w:rsidP="00AC385D">
      <w:pPr>
        <w:ind w:firstLine="709"/>
        <w:jc w:val="both"/>
        <w:rPr>
          <w:rFonts w:ascii="Times New Roman" w:eastAsia="Calibri" w:hAnsi="Times New Roman" w:cs="Times New Roman"/>
          <w:sz w:val="26"/>
          <w:szCs w:val="26"/>
        </w:rPr>
      </w:pPr>
      <w:r w:rsidRPr="00AC385D">
        <w:rPr>
          <w:rFonts w:ascii="Times New Roman" w:eastAsia="Calibri" w:hAnsi="Times New Roman" w:cs="Times New Roman"/>
          <w:sz w:val="26"/>
          <w:szCs w:val="26"/>
        </w:rPr>
        <w:t xml:space="preserve">Субъекты Российской </w:t>
      </w:r>
      <w:proofErr w:type="gramStart"/>
      <w:r w:rsidRPr="00AC385D">
        <w:rPr>
          <w:rFonts w:ascii="Times New Roman" w:eastAsia="Calibri" w:hAnsi="Times New Roman" w:cs="Times New Roman"/>
          <w:sz w:val="26"/>
          <w:szCs w:val="26"/>
        </w:rPr>
        <w:t>Федерации</w:t>
      </w:r>
      <w:proofErr w:type="gramEnd"/>
      <w:r w:rsidRPr="00AC385D">
        <w:rPr>
          <w:rFonts w:ascii="Times New Roman" w:eastAsia="Calibri" w:hAnsi="Times New Roman" w:cs="Times New Roman"/>
          <w:sz w:val="26"/>
          <w:szCs w:val="26"/>
        </w:rPr>
        <w:t xml:space="preserve"> скорее всего не смогут компенсировать влияние сокращения расходов на межбюджетные трансферты из федерального бюджета субъектам Российской Федерации в 2016 году. В последние месяцы 2013 года начался быстрый рост государственного долга субъектов Российской Федерации, который увеличился на треть по сравнению началом 2013 года. </w:t>
      </w:r>
      <w:proofErr w:type="gramStart"/>
      <w:r w:rsidRPr="00AC385D">
        <w:rPr>
          <w:rFonts w:ascii="Times New Roman" w:eastAsia="Calibri" w:hAnsi="Times New Roman" w:cs="Times New Roman"/>
          <w:sz w:val="26"/>
          <w:szCs w:val="26"/>
        </w:rPr>
        <w:t>В 2014</w:t>
      </w:r>
      <w:r w:rsidR="00735EB0" w:rsidRPr="00AC385D">
        <w:rPr>
          <w:rFonts w:ascii="Times New Roman" w:eastAsia="Calibri" w:hAnsi="Times New Roman" w:cs="Times New Roman"/>
          <w:sz w:val="26"/>
          <w:szCs w:val="26"/>
        </w:rPr>
        <w:t xml:space="preserve"> </w:t>
      </w:r>
      <w:r w:rsidRPr="00AC385D">
        <w:rPr>
          <w:rFonts w:ascii="Times New Roman" w:eastAsia="Calibri" w:hAnsi="Times New Roman" w:cs="Times New Roman"/>
          <w:sz w:val="26"/>
          <w:szCs w:val="26"/>
        </w:rPr>
        <w:t>г. рост государственного долга субъектов Российской Федерации продолжился: за год он вырос на 20%. На 1 июня 2015 года стало очевидно, что регионы пока не могут снизить размер своего долга, который по данным Минфина составлял на эту дату 2093 млрд. руб., тогда как 1 января 2015 г. он формировался на уровне 2089 млрд. руб. Правительством Российской Федерации принимались</w:t>
      </w:r>
      <w:proofErr w:type="gramEnd"/>
      <w:r w:rsidRPr="00AC385D">
        <w:rPr>
          <w:rFonts w:ascii="Times New Roman" w:eastAsia="Calibri" w:hAnsi="Times New Roman" w:cs="Times New Roman"/>
          <w:sz w:val="26"/>
          <w:szCs w:val="26"/>
        </w:rPr>
        <w:t xml:space="preserve"> серьезные меры, чтобы улучшить ситуацию с высоким и не снижающимся уровнем государственного долга субъектов Российской Федерации. </w:t>
      </w:r>
      <w:proofErr w:type="gramStart"/>
      <w:r w:rsidRPr="00AC385D">
        <w:rPr>
          <w:rFonts w:ascii="Times New Roman" w:eastAsia="Calibri" w:hAnsi="Times New Roman" w:cs="Times New Roman"/>
          <w:sz w:val="26"/>
          <w:szCs w:val="26"/>
        </w:rPr>
        <w:t>Однако их оказалось недостаточно и в августе было принято решение об изменении правил предоставления бюджетных кредитов субъектам Федерации (принятия постановления от 25 августа 2015 года №886 «Об изменении правил предоставления бюджетных кредитов субъектам Федерации»), которое предусматривает возможность погашения коммерческой задолженности регионов за счёт бюджетных кредитов и рефинансирования задолженности по бюджетным кредитам</w:t>
      </w:r>
      <w:r w:rsidR="00735EB0" w:rsidRPr="00AC385D">
        <w:rPr>
          <w:rFonts w:ascii="Times New Roman" w:eastAsia="Calibri" w:hAnsi="Times New Roman" w:cs="Times New Roman"/>
          <w:sz w:val="26"/>
          <w:szCs w:val="26"/>
        </w:rPr>
        <w:t>.</w:t>
      </w:r>
      <w:proofErr w:type="gramEnd"/>
      <w:r w:rsidR="00735EB0" w:rsidRPr="00AC385D">
        <w:rPr>
          <w:rFonts w:ascii="Times New Roman" w:eastAsia="Calibri" w:hAnsi="Times New Roman" w:cs="Times New Roman"/>
          <w:sz w:val="26"/>
          <w:szCs w:val="26"/>
        </w:rPr>
        <w:t xml:space="preserve"> Тем не менее</w:t>
      </w:r>
      <w:r w:rsidR="00FF7754">
        <w:rPr>
          <w:rFonts w:ascii="Times New Roman" w:eastAsia="Calibri" w:hAnsi="Times New Roman" w:cs="Times New Roman"/>
          <w:sz w:val="26"/>
          <w:szCs w:val="26"/>
        </w:rPr>
        <w:t>,</w:t>
      </w:r>
      <w:r w:rsidR="00735EB0" w:rsidRPr="00AC385D">
        <w:rPr>
          <w:rFonts w:ascii="Times New Roman" w:eastAsia="Calibri" w:hAnsi="Times New Roman" w:cs="Times New Roman"/>
          <w:sz w:val="26"/>
          <w:szCs w:val="26"/>
        </w:rPr>
        <w:t xml:space="preserve"> в условиях сокращения объема трансфертов</w:t>
      </w:r>
      <w:r w:rsidR="00AC385D" w:rsidRPr="00AC385D">
        <w:rPr>
          <w:rFonts w:ascii="Times New Roman" w:eastAsia="Calibri" w:hAnsi="Times New Roman" w:cs="Times New Roman"/>
          <w:sz w:val="26"/>
          <w:szCs w:val="26"/>
        </w:rPr>
        <w:t xml:space="preserve"> </w:t>
      </w:r>
      <w:r w:rsidRPr="00AC385D">
        <w:rPr>
          <w:rFonts w:ascii="Times New Roman" w:eastAsia="Calibri" w:hAnsi="Times New Roman" w:cs="Times New Roman"/>
          <w:sz w:val="26"/>
          <w:szCs w:val="26"/>
        </w:rPr>
        <w:t>мер, установленных данным постановлением</w:t>
      </w:r>
      <w:r w:rsidR="00735EB0" w:rsidRPr="00AC385D">
        <w:rPr>
          <w:rFonts w:ascii="Times New Roman" w:eastAsia="Calibri" w:hAnsi="Times New Roman" w:cs="Times New Roman"/>
          <w:sz w:val="26"/>
          <w:szCs w:val="26"/>
        </w:rPr>
        <w:t>, также</w:t>
      </w:r>
      <w:r w:rsidRPr="00AC385D">
        <w:rPr>
          <w:rFonts w:ascii="Times New Roman" w:eastAsia="Calibri" w:hAnsi="Times New Roman" w:cs="Times New Roman"/>
          <w:sz w:val="26"/>
          <w:szCs w:val="26"/>
        </w:rPr>
        <w:t xml:space="preserve"> мо</w:t>
      </w:r>
      <w:r w:rsidR="00735EB0" w:rsidRPr="00AC385D">
        <w:rPr>
          <w:rFonts w:ascii="Times New Roman" w:eastAsia="Calibri" w:hAnsi="Times New Roman" w:cs="Times New Roman"/>
          <w:sz w:val="26"/>
          <w:szCs w:val="26"/>
        </w:rPr>
        <w:t>ж</w:t>
      </w:r>
      <w:r w:rsidRPr="00AC385D">
        <w:rPr>
          <w:rFonts w:ascii="Times New Roman" w:eastAsia="Calibri" w:hAnsi="Times New Roman" w:cs="Times New Roman"/>
          <w:sz w:val="26"/>
          <w:szCs w:val="26"/>
        </w:rPr>
        <w:t>ет оказаться недостаточно для снижения государственного долга субъектов Российской Федерации.</w:t>
      </w:r>
    </w:p>
    <w:p w14:paraId="21AAB03E" w14:textId="77777777" w:rsidR="001B608A" w:rsidRPr="008D22BE" w:rsidRDefault="001B608A">
      <w:pPr>
        <w:rPr>
          <w:rFonts w:ascii="Times New Roman" w:eastAsia="Calibri" w:hAnsi="Times New Roman" w:cs="Times New Roman"/>
          <w:sz w:val="26"/>
          <w:szCs w:val="26"/>
        </w:rPr>
      </w:pPr>
      <w:r w:rsidRPr="008D22BE">
        <w:rPr>
          <w:rFonts w:ascii="Times New Roman" w:eastAsia="Calibri" w:hAnsi="Times New Roman" w:cs="Times New Roman"/>
          <w:sz w:val="26"/>
          <w:szCs w:val="26"/>
        </w:rPr>
        <w:br w:type="page"/>
      </w:r>
    </w:p>
    <w:p w14:paraId="2C37F0A0" w14:textId="77777777" w:rsidR="0053532A" w:rsidRPr="0053532A" w:rsidRDefault="0053532A" w:rsidP="0053532A">
      <w:pPr>
        <w:pStyle w:val="1"/>
        <w:spacing w:before="240" w:after="240"/>
        <w:jc w:val="center"/>
        <w:rPr>
          <w:rFonts w:ascii="Times New Roman" w:hAnsi="Times New Roman" w:cs="Times New Roman"/>
          <w:color w:val="auto"/>
        </w:rPr>
      </w:pPr>
      <w:bookmarkStart w:id="4" w:name="_Toc434260591"/>
      <w:r>
        <w:rPr>
          <w:rFonts w:ascii="Times New Roman" w:hAnsi="Times New Roman" w:cs="Times New Roman"/>
          <w:color w:val="auto"/>
        </w:rPr>
        <w:lastRenderedPageBreak/>
        <w:t xml:space="preserve">4. </w:t>
      </w:r>
      <w:r w:rsidRPr="0053532A">
        <w:rPr>
          <w:rFonts w:ascii="Times New Roman" w:hAnsi="Times New Roman" w:cs="Times New Roman"/>
          <w:color w:val="auto"/>
        </w:rPr>
        <w:t>Расходы на образование</w:t>
      </w:r>
      <w:bookmarkEnd w:id="4"/>
      <w:r w:rsidRPr="0053532A">
        <w:rPr>
          <w:rFonts w:ascii="Times New Roman" w:hAnsi="Times New Roman" w:cs="Times New Roman"/>
          <w:color w:val="auto"/>
        </w:rPr>
        <w:t xml:space="preserve"> </w:t>
      </w:r>
    </w:p>
    <w:p w14:paraId="7916E324"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По отношению к объему ВВП</w:t>
      </w:r>
      <w:r w:rsidR="006F07AA">
        <w:rPr>
          <w:rFonts w:ascii="Times New Roman" w:hAnsi="Times New Roman" w:cs="Times New Roman"/>
          <w:color w:val="000000" w:themeColor="text1"/>
          <w:sz w:val="26"/>
          <w:szCs w:val="26"/>
        </w:rPr>
        <w:t xml:space="preserve"> расходы раздела «Образование» ф</w:t>
      </w:r>
      <w:r w:rsidRPr="0053532A">
        <w:rPr>
          <w:rFonts w:ascii="Times New Roman" w:hAnsi="Times New Roman" w:cs="Times New Roman"/>
          <w:color w:val="000000" w:themeColor="text1"/>
          <w:sz w:val="26"/>
          <w:szCs w:val="26"/>
        </w:rPr>
        <w:t xml:space="preserve">едерального бюджета (далее - ФБ) составляют в 2016 году 0,7 процента. Доля в общем объеме расходов федерального бюджета по сравнению с 2015 годом (4,1%) уменьшилась и составит 3,6 процента. </w:t>
      </w:r>
    </w:p>
    <w:p w14:paraId="7E14E50B" w14:textId="77777777" w:rsidR="0053532A" w:rsidRPr="0053532A" w:rsidRDefault="0053532A" w:rsidP="0053532A">
      <w:pPr>
        <w:autoSpaceDE w:val="0"/>
        <w:autoSpaceDN w:val="0"/>
        <w:adjustRightInd w:val="0"/>
        <w:ind w:firstLine="709"/>
        <w:jc w:val="both"/>
        <w:rPr>
          <w:rFonts w:ascii="Times New Roman" w:hAnsi="Times New Roman" w:cs="Times New Roman"/>
          <w:sz w:val="26"/>
          <w:szCs w:val="26"/>
        </w:rPr>
      </w:pPr>
      <w:r w:rsidRPr="0053532A">
        <w:rPr>
          <w:rFonts w:ascii="Times New Roman" w:hAnsi="Times New Roman" w:cs="Times New Roman"/>
          <w:sz w:val="26"/>
          <w:szCs w:val="26"/>
        </w:rPr>
        <w:t>С учетом прогноза в реальном выражении сокращение расходов на государственную программу «</w:t>
      </w:r>
      <w:r w:rsidRPr="0053532A">
        <w:rPr>
          <w:rFonts w:ascii="Times New Roman" w:hAnsi="Times New Roman" w:cs="Times New Roman"/>
          <w:color w:val="000000" w:themeColor="text1"/>
          <w:sz w:val="26"/>
          <w:szCs w:val="26"/>
        </w:rPr>
        <w:t>Развитие образования» на 2013-2020 годы в 2016 году</w:t>
      </w:r>
      <w:r w:rsidRPr="0053532A">
        <w:rPr>
          <w:rFonts w:ascii="Times New Roman" w:hAnsi="Times New Roman" w:cs="Times New Roman"/>
          <w:sz w:val="26"/>
          <w:szCs w:val="26"/>
        </w:rPr>
        <w:t xml:space="preserve"> составит 10,3% по сравнению с 2015 годом.</w:t>
      </w:r>
    </w:p>
    <w:p w14:paraId="02A3D8B3"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Бюджетные ассигнования в 2016 году по разделу «Образование» запланированы в объеме 578 654,0 млн. рублей.</w:t>
      </w:r>
    </w:p>
    <w:p w14:paraId="62BD0EB0"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Объем бюджетных ассигнований в 2016 году по сравнению с уровнем 2015 года меньше на 53 381,3 млн. рублей, в том числе за счет уменьшения бюджетных ассигнований </w:t>
      </w:r>
      <w:proofErr w:type="gramStart"/>
      <w:r w:rsidRPr="0053532A">
        <w:rPr>
          <w:rFonts w:ascii="Times New Roman" w:hAnsi="Times New Roman" w:cs="Times New Roman"/>
          <w:color w:val="000000" w:themeColor="text1"/>
          <w:sz w:val="26"/>
          <w:szCs w:val="26"/>
        </w:rPr>
        <w:t>на</w:t>
      </w:r>
      <w:proofErr w:type="gramEnd"/>
      <w:r w:rsidRPr="0053532A">
        <w:rPr>
          <w:rFonts w:ascii="Times New Roman" w:hAnsi="Times New Roman" w:cs="Times New Roman"/>
          <w:color w:val="000000" w:themeColor="text1"/>
          <w:sz w:val="26"/>
          <w:szCs w:val="26"/>
        </w:rPr>
        <w:t>:</w:t>
      </w:r>
    </w:p>
    <w:p w14:paraId="09E9509B"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осуществление бюджетных инвестиций в объекты капитального строительства на 2 303,4 млн. рублей;</w:t>
      </w:r>
    </w:p>
    <w:p w14:paraId="56C60C8B"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мероприятия по модернизации региональных систем дошкольного образования в объеме 30 000,0 млн. рублей (в связи с завершением их реализации</w:t>
      </w:r>
      <w:r w:rsidR="006B3A18">
        <w:rPr>
          <w:rFonts w:ascii="Times New Roman" w:hAnsi="Times New Roman" w:cs="Times New Roman"/>
          <w:color w:val="000000" w:themeColor="text1"/>
          <w:sz w:val="26"/>
          <w:szCs w:val="26"/>
        </w:rPr>
        <w:t xml:space="preserve"> </w:t>
      </w:r>
      <w:r w:rsidRPr="0053532A">
        <w:rPr>
          <w:rFonts w:ascii="Times New Roman" w:hAnsi="Times New Roman" w:cs="Times New Roman"/>
          <w:color w:val="000000" w:themeColor="text1"/>
          <w:sz w:val="26"/>
          <w:szCs w:val="26"/>
        </w:rPr>
        <w:t>в 2015 году);</w:t>
      </w:r>
    </w:p>
    <w:p w14:paraId="06DC2038"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 - мероприятия по созданию в общеобразовательных организациях, расположенных в сельской местности, условий для занятий физической культурой и спортом</w:t>
      </w:r>
      <w:r w:rsidR="006B3A18">
        <w:rPr>
          <w:rFonts w:ascii="Times New Roman" w:hAnsi="Times New Roman" w:cs="Times New Roman"/>
          <w:color w:val="000000" w:themeColor="text1"/>
          <w:sz w:val="26"/>
          <w:szCs w:val="26"/>
        </w:rPr>
        <w:t xml:space="preserve"> </w:t>
      </w:r>
      <w:r w:rsidRPr="0053532A">
        <w:rPr>
          <w:rFonts w:ascii="Times New Roman" w:hAnsi="Times New Roman" w:cs="Times New Roman"/>
          <w:color w:val="000000" w:themeColor="text1"/>
          <w:sz w:val="26"/>
          <w:szCs w:val="26"/>
        </w:rPr>
        <w:t xml:space="preserve">в объеме 1 620,0 млн. рублей. </w:t>
      </w:r>
    </w:p>
    <w:p w14:paraId="45CCB127"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 завершение реализации мероприятий государственной программы Российской Федерации «Доступная среда» на 2011-2015 годы (3 079,8 млн. рублей). </w:t>
      </w:r>
    </w:p>
    <w:p w14:paraId="58B4F078"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В 2016 году в государственную программу «Развитие образования» на 2013-2020 годы включено 6 подпрограмм - на одну подпрограмму меньше, чем в 2015 году. По отмеченным подпрограммам наиболее приоритетной является </w:t>
      </w:r>
      <w:r>
        <w:rPr>
          <w:rFonts w:ascii="Times New Roman" w:hAnsi="Times New Roman" w:cs="Times New Roman"/>
          <w:color w:val="000000" w:themeColor="text1"/>
          <w:sz w:val="26"/>
          <w:szCs w:val="26"/>
        </w:rPr>
        <w:t>ф</w:t>
      </w:r>
      <w:r w:rsidRPr="0053532A">
        <w:rPr>
          <w:rFonts w:ascii="Times New Roman" w:hAnsi="Times New Roman" w:cs="Times New Roman"/>
          <w:color w:val="000000" w:themeColor="text1"/>
          <w:sz w:val="26"/>
          <w:szCs w:val="26"/>
        </w:rPr>
        <w:t>едеральная целевая программа «Русский язык» на 2016 - 2020 годы. Бюджетные ассигнования в 2016 году на данную подпрограмму составят 1 130,6 млн. рублей, что на 258,7% больше, чем в 2015 году. При этом на реализацию самой большой по финансовому обеспечению подпрограммы профессионального образования выделено по сравнению с 2015 годом всего на 2,2% меньше. Самым динамичным по темпам ростам расходов федерального бюджета следует назвать программу «Русский язык» на 2016 - 2020 годы. Однако общий объем расходов по этой программе незначительный, поэтому общая динамика расходов ФБ на образование остается негативной.</w:t>
      </w:r>
    </w:p>
    <w:p w14:paraId="307A1A7D"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В структуре </w:t>
      </w:r>
      <w:r>
        <w:rPr>
          <w:rFonts w:ascii="Times New Roman" w:hAnsi="Times New Roman" w:cs="Times New Roman"/>
          <w:color w:val="000000" w:themeColor="text1"/>
          <w:sz w:val="26"/>
          <w:szCs w:val="26"/>
        </w:rPr>
        <w:t>федерального бюджета</w:t>
      </w:r>
      <w:r w:rsidRPr="0053532A">
        <w:rPr>
          <w:rFonts w:ascii="Times New Roman" w:hAnsi="Times New Roman" w:cs="Times New Roman"/>
          <w:color w:val="000000" w:themeColor="text1"/>
          <w:sz w:val="26"/>
          <w:szCs w:val="26"/>
        </w:rPr>
        <w:t xml:space="preserve"> предусмотрены субсидии не только на реализацию программ высшего образования, но и отдельная субсидия доведения заработной платы зафиксированных в документах, регулирующих выполнение Указов президента по переходу на эффективный контракт. В 2015 году целевой показатель </w:t>
      </w:r>
      <w:r w:rsidRPr="0053532A">
        <w:rPr>
          <w:rFonts w:ascii="Times New Roman" w:hAnsi="Times New Roman" w:cs="Times New Roman"/>
          <w:color w:val="000000" w:themeColor="text1"/>
          <w:sz w:val="26"/>
          <w:szCs w:val="26"/>
        </w:rPr>
        <w:lastRenderedPageBreak/>
        <w:t xml:space="preserve">установлен на уровне 137% по отношению к средней заработной плате регионов, в которых расположены высшие учебные заведения. На 2016 год целевой показатель установлен на уровне 147%. По состоянию выполнения </w:t>
      </w:r>
      <w:r>
        <w:rPr>
          <w:rFonts w:ascii="Times New Roman" w:hAnsi="Times New Roman" w:cs="Times New Roman"/>
          <w:color w:val="000000" w:themeColor="text1"/>
          <w:sz w:val="26"/>
          <w:szCs w:val="26"/>
        </w:rPr>
        <w:t>ф</w:t>
      </w:r>
      <w:r w:rsidRPr="0053532A">
        <w:rPr>
          <w:rFonts w:ascii="Times New Roman" w:hAnsi="Times New Roman" w:cs="Times New Roman"/>
          <w:color w:val="000000" w:themeColor="text1"/>
          <w:sz w:val="26"/>
          <w:szCs w:val="26"/>
        </w:rPr>
        <w:t>едерального бюджета за 9 месяцев 2015 г. выявлено, что целевой показатель 2016 г. уже достигнут. Тем самым специальная субсидия на доведение заработной платы ППС до целевого уровня была снята, а планируемые на 2016 г. расходы ФБ сокращены на 24,1 млрд</w:t>
      </w:r>
      <w:r>
        <w:rPr>
          <w:rFonts w:ascii="Times New Roman" w:hAnsi="Times New Roman" w:cs="Times New Roman"/>
          <w:color w:val="000000" w:themeColor="text1"/>
          <w:sz w:val="26"/>
          <w:szCs w:val="26"/>
        </w:rPr>
        <w:t>.</w:t>
      </w:r>
      <w:r w:rsidRPr="0053532A">
        <w:rPr>
          <w:rFonts w:ascii="Times New Roman" w:hAnsi="Times New Roman" w:cs="Times New Roman"/>
          <w:color w:val="000000" w:themeColor="text1"/>
          <w:sz w:val="26"/>
          <w:szCs w:val="26"/>
        </w:rPr>
        <w:t xml:space="preserve"> рублей. Это привело к общему снижению планируемых расходов государственной программы «Развитие образования» на 2013-2020 годы в 2016 году.</w:t>
      </w:r>
    </w:p>
    <w:p w14:paraId="575700A8"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В проекте </w:t>
      </w:r>
      <w:r w:rsidR="006F07AA">
        <w:rPr>
          <w:rFonts w:ascii="Times New Roman" w:hAnsi="Times New Roman" w:cs="Times New Roman"/>
          <w:color w:val="000000" w:themeColor="text1"/>
          <w:sz w:val="26"/>
          <w:szCs w:val="26"/>
        </w:rPr>
        <w:t>федерального бюджета</w:t>
      </w:r>
      <w:r w:rsidRPr="0053532A">
        <w:rPr>
          <w:rFonts w:ascii="Times New Roman" w:hAnsi="Times New Roman" w:cs="Times New Roman"/>
          <w:color w:val="000000" w:themeColor="text1"/>
          <w:sz w:val="26"/>
          <w:szCs w:val="26"/>
        </w:rPr>
        <w:t xml:space="preserve"> предусмотрено повышение стипендий пропорционально планируемым темпам инфляции, это не позволяет сохранить стипендии на уровне прожиточного минимума в регионах, где расположены учебные заведения. Особенно это относится к городам с высокой стоимостью жизни, в частности, в Москве, где обучается 25% студентов по программам высшего образования. Тем самым в </w:t>
      </w:r>
      <w:r>
        <w:rPr>
          <w:rFonts w:ascii="Times New Roman" w:hAnsi="Times New Roman" w:cs="Times New Roman"/>
          <w:color w:val="000000" w:themeColor="text1"/>
          <w:sz w:val="26"/>
          <w:szCs w:val="26"/>
        </w:rPr>
        <w:t>федеральном бюджете</w:t>
      </w:r>
      <w:r w:rsidRPr="0053532A">
        <w:rPr>
          <w:rFonts w:ascii="Times New Roman" w:hAnsi="Times New Roman" w:cs="Times New Roman"/>
          <w:color w:val="000000" w:themeColor="text1"/>
          <w:sz w:val="26"/>
          <w:szCs w:val="26"/>
        </w:rPr>
        <w:t xml:space="preserve"> общий объем стипендиального обеспечения не снижается, но его динамика отстает от взятых обязательств по стипендиальному обеспечению.</w:t>
      </w:r>
    </w:p>
    <w:p w14:paraId="3FC0FF4E"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В связи с закупкой дорогостоящего оборудования, в первую очередь, ведущими вузами, уровень энергопотребления заметно вырос, поэтому выполнение программы энергосбережения на 5% ежегодно в течение трех лет находится под угрозой. Дополнительные риски связаны также с ростом коммунальных платежей в различных регионах России. Специальных коэффициентов, которые могли бы компенсировать возросшие расходы вузов по энергопотреблению в методиках расчета общего объема субсидии на основе нормативных затрат не предусмотрено. Тем самым возросшие расходы возлагаются на сами университеты.</w:t>
      </w:r>
    </w:p>
    <w:p w14:paraId="6A0F17BE"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Это может негативно повлиять на эффективное использование дорогостоящего высокотехнологичного оборудования, выполнение научных исследований, проектных работ, и тем самым подрывает позитивную тенденцию повышения мест российских университетов в международных рейтингах, многие из которых включают показатели о результатах научных исследований и научной деятельности.</w:t>
      </w:r>
    </w:p>
    <w:p w14:paraId="600ECE01"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Частичное снижение общего объема расходов в 2016 году по сравнению с 2015 годом объясняется уменьшением численности выпускников общеобразовательных организаций. Однако изменение приоритетов при формировании контрольных цифр приема в сторону более дорогих инженерных, технических и технологических направлений подготовки (многие из которых относятся к 3-ей стоимостной группе) перекрывает снижение численности абитуриентов в 2016 году по сравнению с 2015 годом. Следует отметить набирающие обороты тенденции перехода к реальному двухуровневому образованию и роста числа претендентов продолжить образование по магистерским программам.</w:t>
      </w:r>
    </w:p>
    <w:p w14:paraId="3301F17A" w14:textId="77777777" w:rsidR="0053532A" w:rsidRPr="0053532A" w:rsidRDefault="0053532A" w:rsidP="0053532A">
      <w:pPr>
        <w:autoSpaceDE w:val="0"/>
        <w:autoSpaceDN w:val="0"/>
        <w:adjustRightInd w:val="0"/>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В 2015 году был сокращен объем субсидии на выполнение прикладных и фундаментальных научных исследований в пределах 1 553 млн</w:t>
      </w:r>
      <w:r w:rsidR="002A12F5">
        <w:rPr>
          <w:rFonts w:ascii="Times New Roman" w:hAnsi="Times New Roman" w:cs="Times New Roman"/>
          <w:color w:val="000000" w:themeColor="text1"/>
          <w:sz w:val="26"/>
          <w:szCs w:val="26"/>
        </w:rPr>
        <w:t>.</w:t>
      </w:r>
      <w:r w:rsidRPr="0053532A">
        <w:rPr>
          <w:rFonts w:ascii="Times New Roman" w:hAnsi="Times New Roman" w:cs="Times New Roman"/>
          <w:color w:val="000000" w:themeColor="text1"/>
          <w:sz w:val="26"/>
          <w:szCs w:val="26"/>
        </w:rPr>
        <w:t xml:space="preserve"> рублей. Представленные материалы не позволяют сделать однозначный вывод об объемах расходов на </w:t>
      </w:r>
      <w:r w:rsidRPr="0053532A">
        <w:rPr>
          <w:rFonts w:ascii="Times New Roman" w:hAnsi="Times New Roman" w:cs="Times New Roman"/>
          <w:color w:val="000000" w:themeColor="text1"/>
          <w:sz w:val="26"/>
          <w:szCs w:val="26"/>
        </w:rPr>
        <w:lastRenderedPageBreak/>
        <w:t>фундаментальные и прикладные научные исследования, однако общее снижение расходов позволяет с большой вероятностью сделать вывод о том, что на 2016 год увеличение по этому направлению не предусматривается. Таким образом, складывается тенденция замораживания в университетах фундаментальных и прикладных научных исследований, которые являются основой интеграции науки и образования в университетах.</w:t>
      </w:r>
    </w:p>
    <w:p w14:paraId="6C99AB7C" w14:textId="77777777" w:rsidR="0053532A" w:rsidRPr="0053532A" w:rsidRDefault="0053532A" w:rsidP="0053532A">
      <w:pPr>
        <w:ind w:firstLine="709"/>
        <w:jc w:val="both"/>
        <w:rPr>
          <w:rFonts w:ascii="Times New Roman" w:hAnsi="Times New Roman" w:cs="Times New Roman"/>
          <w:color w:val="000000" w:themeColor="text1"/>
          <w:sz w:val="26"/>
          <w:szCs w:val="26"/>
        </w:rPr>
      </w:pPr>
      <w:proofErr w:type="gramStart"/>
      <w:r w:rsidRPr="0053532A">
        <w:rPr>
          <w:rFonts w:ascii="Times New Roman" w:hAnsi="Times New Roman" w:cs="Times New Roman"/>
          <w:color w:val="000000" w:themeColor="text1"/>
          <w:sz w:val="26"/>
          <w:szCs w:val="26"/>
        </w:rPr>
        <w:t>В соответствии с п. 1 26) перечня поручений по реализации Послания Президента Федеральному Собранию от 5 декабря 2014 г. Правительство Российской Федерации распоряжением № 2145-р от 23 октября 2015 г. утвердило программу «Содействие созданию в субъектах</w:t>
      </w:r>
      <w:r w:rsidR="006B3A18">
        <w:rPr>
          <w:rFonts w:ascii="Times New Roman" w:hAnsi="Times New Roman" w:cs="Times New Roman"/>
          <w:color w:val="000000" w:themeColor="text1"/>
          <w:sz w:val="26"/>
          <w:szCs w:val="26"/>
        </w:rPr>
        <w:t xml:space="preserve"> </w:t>
      </w:r>
      <w:r w:rsidRPr="0053532A">
        <w:rPr>
          <w:rFonts w:ascii="Times New Roman" w:hAnsi="Times New Roman" w:cs="Times New Roman"/>
          <w:color w:val="000000" w:themeColor="text1"/>
          <w:sz w:val="26"/>
          <w:szCs w:val="26"/>
        </w:rPr>
        <w:t>Российской Федерации (исходя из прогнозируемой потребности) новых мест в общеобразовательных организациях» на 2016-2025 годы.</w:t>
      </w:r>
      <w:proofErr w:type="gramEnd"/>
      <w:r w:rsidRPr="0053532A">
        <w:rPr>
          <w:rFonts w:ascii="Times New Roman" w:hAnsi="Times New Roman" w:cs="Times New Roman"/>
          <w:color w:val="000000" w:themeColor="text1"/>
          <w:sz w:val="26"/>
          <w:szCs w:val="26"/>
        </w:rPr>
        <w:t xml:space="preserve"> Соответствующая программа направлена на создание для обеспечения обучения в первую смену к 2025 году 5 365,2 тыс. мест, а также 2,024,7 тыс. ме</w:t>
      </w:r>
      <w:proofErr w:type="gramStart"/>
      <w:r w:rsidRPr="0053532A">
        <w:rPr>
          <w:rFonts w:ascii="Times New Roman" w:hAnsi="Times New Roman" w:cs="Times New Roman"/>
          <w:color w:val="000000" w:themeColor="text1"/>
          <w:sz w:val="26"/>
          <w:szCs w:val="26"/>
        </w:rPr>
        <w:t>ст в св</w:t>
      </w:r>
      <w:proofErr w:type="gramEnd"/>
      <w:r w:rsidRPr="0053532A">
        <w:rPr>
          <w:rFonts w:ascii="Times New Roman" w:hAnsi="Times New Roman" w:cs="Times New Roman"/>
          <w:color w:val="000000" w:themeColor="text1"/>
          <w:sz w:val="26"/>
          <w:szCs w:val="26"/>
        </w:rPr>
        <w:t>язи с задачей для перевода детей из зданий, имеющих высокую степень износа.</w:t>
      </w:r>
    </w:p>
    <w:p w14:paraId="5E54AFE7" w14:textId="77777777" w:rsidR="0053532A" w:rsidRPr="0053532A" w:rsidRDefault="0053532A" w:rsidP="0053532A">
      <w:pPr>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Согласно п. 2 соответствующего распоряжения Минфину России поручено при формировании проекта федерального бюджета на соответствующий финансовый год и плановый период </w:t>
      </w:r>
      <w:proofErr w:type="gramStart"/>
      <w:r w:rsidR="006F07AA">
        <w:rPr>
          <w:rFonts w:ascii="Times New Roman" w:hAnsi="Times New Roman" w:cs="Times New Roman"/>
          <w:color w:val="000000" w:themeColor="text1"/>
          <w:sz w:val="26"/>
          <w:szCs w:val="26"/>
        </w:rPr>
        <w:t>предусмотреть</w:t>
      </w:r>
      <w:proofErr w:type="gramEnd"/>
      <w:r w:rsidRPr="0053532A">
        <w:rPr>
          <w:rFonts w:ascii="Times New Roman" w:hAnsi="Times New Roman" w:cs="Times New Roman"/>
          <w:color w:val="000000" w:themeColor="text1"/>
          <w:sz w:val="26"/>
          <w:szCs w:val="26"/>
        </w:rPr>
        <w:t xml:space="preserve"> </w:t>
      </w:r>
      <w:proofErr w:type="spellStart"/>
      <w:r w:rsidRPr="0053532A">
        <w:rPr>
          <w:rFonts w:ascii="Times New Roman" w:hAnsi="Times New Roman" w:cs="Times New Roman"/>
          <w:color w:val="000000" w:themeColor="text1"/>
          <w:sz w:val="26"/>
          <w:szCs w:val="26"/>
        </w:rPr>
        <w:t>Минобрнауки</w:t>
      </w:r>
      <w:proofErr w:type="spellEnd"/>
      <w:r w:rsidRPr="0053532A">
        <w:rPr>
          <w:rFonts w:ascii="Times New Roman" w:hAnsi="Times New Roman" w:cs="Times New Roman"/>
          <w:color w:val="000000" w:themeColor="text1"/>
          <w:sz w:val="26"/>
          <w:szCs w:val="26"/>
        </w:rPr>
        <w:t xml:space="preserve"> России бюджетные ассигнования на реализацию мероприятий Программы. С учетом масштабов потребности во вводе новых ме</w:t>
      </w:r>
      <w:proofErr w:type="gramStart"/>
      <w:r w:rsidRPr="0053532A">
        <w:rPr>
          <w:rFonts w:ascii="Times New Roman" w:hAnsi="Times New Roman" w:cs="Times New Roman"/>
          <w:color w:val="000000" w:themeColor="text1"/>
          <w:sz w:val="26"/>
          <w:szCs w:val="26"/>
        </w:rPr>
        <w:t>ст в сф</w:t>
      </w:r>
      <w:proofErr w:type="gramEnd"/>
      <w:r w:rsidRPr="0053532A">
        <w:rPr>
          <w:rFonts w:ascii="Times New Roman" w:hAnsi="Times New Roman" w:cs="Times New Roman"/>
          <w:color w:val="000000" w:themeColor="text1"/>
          <w:sz w:val="26"/>
          <w:szCs w:val="26"/>
        </w:rPr>
        <w:t>ере общего образования целесообразно предусмотреть в проекте федерального бюджета ассигнования на «запуск» соответствующей программы (формирование во всех субъектах Российской Федерации необходимой базы типовых проектов с учетом специфики географического положения и климатических особенностей в субъектах Российской Федерации; проведение необходимых аналитических мероприятий по планированию сети образовательных организаций с учетом особенностей расселения на территории регионов и т.д.), а также на начало реализации соответствующих мероприятий в субъектах Российской Федерации, в которых к настоящему моменту проведены в полном объеме необходимые подготовительные аналитические мероприятия, подготовлена необходимая нормативная база, проектно-сметная документация.</w:t>
      </w:r>
    </w:p>
    <w:p w14:paraId="71ED147F" w14:textId="77777777" w:rsidR="0053532A" w:rsidRPr="0053532A" w:rsidRDefault="0053532A" w:rsidP="0053532A">
      <w:pPr>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Расходы федерального бюджета на высшее образование сокращаются в 2016 году по сравнению с 2015 годом на величину в пределах 3 процентов. Соответствующие сокращения обусловлены ожидаемым снижением численности студентов, обучающихся за счет средств федерального бюджета. </w:t>
      </w:r>
    </w:p>
    <w:p w14:paraId="2F383556" w14:textId="77777777" w:rsidR="0053532A" w:rsidRPr="006F07AA" w:rsidRDefault="0053532A" w:rsidP="006F07AA">
      <w:pPr>
        <w:ind w:firstLine="709"/>
        <w:jc w:val="both"/>
        <w:rPr>
          <w:rFonts w:ascii="Times New Roman" w:hAnsi="Times New Roman" w:cs="Times New Roman"/>
          <w:color w:val="000000" w:themeColor="text1"/>
          <w:sz w:val="26"/>
          <w:szCs w:val="26"/>
        </w:rPr>
      </w:pPr>
      <w:r w:rsidRPr="0053532A">
        <w:rPr>
          <w:rFonts w:ascii="Times New Roman" w:hAnsi="Times New Roman" w:cs="Times New Roman"/>
          <w:color w:val="000000" w:themeColor="text1"/>
          <w:sz w:val="26"/>
          <w:szCs w:val="26"/>
        </w:rPr>
        <w:t xml:space="preserve">При формировании проекта федерального бюджета Минфином России предлагалось существенное сокращение программ, направленных на развитие высшего образования – запущенной в 2013 году программы повышения международной конкурентоспособности российских университетов, программ развития отдельных образовательных организаций. С учетом высоких результатов, продемонстрированных ведущими российскими университетами в части развития научно-публикационной деятельности, расширению академических контактов с академическими институтами, а также развитие партнерских отношений в сфере высшего образования и научной </w:t>
      </w:r>
      <w:proofErr w:type="gramStart"/>
      <w:r w:rsidRPr="0053532A">
        <w:rPr>
          <w:rFonts w:ascii="Times New Roman" w:hAnsi="Times New Roman" w:cs="Times New Roman"/>
          <w:color w:val="000000" w:themeColor="text1"/>
          <w:sz w:val="26"/>
          <w:szCs w:val="26"/>
        </w:rPr>
        <w:t>деятельности</w:t>
      </w:r>
      <w:proofErr w:type="gramEnd"/>
      <w:r w:rsidRPr="0053532A">
        <w:rPr>
          <w:rFonts w:ascii="Times New Roman" w:hAnsi="Times New Roman" w:cs="Times New Roman"/>
          <w:color w:val="000000" w:themeColor="text1"/>
          <w:sz w:val="26"/>
          <w:szCs w:val="26"/>
        </w:rPr>
        <w:t xml:space="preserve"> в том числе с университетами стран БРИКС, Правительство России приняло решение продолжить реализацию программы. Вместе с тем, в представленном проекте федерального бюджета </w:t>
      </w:r>
      <w:r w:rsidRPr="0053532A">
        <w:rPr>
          <w:rFonts w:ascii="Times New Roman" w:hAnsi="Times New Roman" w:cs="Times New Roman"/>
          <w:color w:val="000000" w:themeColor="text1"/>
          <w:sz w:val="26"/>
          <w:szCs w:val="26"/>
        </w:rPr>
        <w:lastRenderedPageBreak/>
        <w:t>на 2016 год финансовое обеспечение программ развития</w:t>
      </w:r>
      <w:r w:rsidR="006F07AA">
        <w:rPr>
          <w:rFonts w:ascii="Times New Roman" w:hAnsi="Times New Roman" w:cs="Times New Roman"/>
          <w:color w:val="000000" w:themeColor="text1"/>
          <w:sz w:val="26"/>
          <w:szCs w:val="26"/>
        </w:rPr>
        <w:t xml:space="preserve">, например, </w:t>
      </w:r>
      <w:r w:rsidRPr="0053532A">
        <w:rPr>
          <w:rFonts w:ascii="Times New Roman" w:hAnsi="Times New Roman" w:cs="Times New Roman"/>
          <w:color w:val="000000" w:themeColor="text1"/>
          <w:sz w:val="26"/>
          <w:szCs w:val="26"/>
        </w:rPr>
        <w:t>Московского государственного университета им. М.В.</w:t>
      </w:r>
      <w:r w:rsidR="002A12F5">
        <w:rPr>
          <w:rFonts w:ascii="Times New Roman" w:hAnsi="Times New Roman" w:cs="Times New Roman"/>
          <w:color w:val="000000" w:themeColor="text1"/>
          <w:sz w:val="26"/>
          <w:szCs w:val="26"/>
        </w:rPr>
        <w:t xml:space="preserve"> </w:t>
      </w:r>
      <w:r w:rsidRPr="0053532A">
        <w:rPr>
          <w:rFonts w:ascii="Times New Roman" w:hAnsi="Times New Roman" w:cs="Times New Roman"/>
          <w:color w:val="000000" w:themeColor="text1"/>
          <w:sz w:val="26"/>
          <w:szCs w:val="26"/>
        </w:rPr>
        <w:t xml:space="preserve">Ломоносова и Санкт-Петербургского государственного </w:t>
      </w:r>
      <w:r w:rsidR="006F07AA">
        <w:rPr>
          <w:rFonts w:ascii="Times New Roman" w:hAnsi="Times New Roman" w:cs="Times New Roman"/>
          <w:color w:val="000000" w:themeColor="text1"/>
          <w:sz w:val="26"/>
          <w:szCs w:val="26"/>
        </w:rPr>
        <w:t xml:space="preserve">университета не предусмотрено. </w:t>
      </w:r>
    </w:p>
    <w:p w14:paraId="1A62FEFC" w14:textId="77777777" w:rsidR="00623056" w:rsidRPr="00623056" w:rsidRDefault="006B3A18" w:rsidP="00623056">
      <w:pPr>
        <w:pStyle w:val="1"/>
        <w:spacing w:before="240" w:after="240"/>
        <w:jc w:val="center"/>
        <w:rPr>
          <w:rFonts w:ascii="Times New Roman" w:hAnsi="Times New Roman" w:cs="Times New Roman"/>
          <w:color w:val="auto"/>
        </w:rPr>
      </w:pPr>
      <w:bookmarkStart w:id="5" w:name="_Toc434260592"/>
      <w:r>
        <w:rPr>
          <w:rFonts w:ascii="Times New Roman" w:hAnsi="Times New Roman" w:cs="Times New Roman"/>
          <w:color w:val="auto"/>
        </w:rPr>
        <w:t>5</w:t>
      </w:r>
      <w:r w:rsidR="00623056">
        <w:rPr>
          <w:rFonts w:ascii="Times New Roman" w:hAnsi="Times New Roman" w:cs="Times New Roman"/>
          <w:color w:val="auto"/>
        </w:rPr>
        <w:t>. Р</w:t>
      </w:r>
      <w:r w:rsidR="00623056" w:rsidRPr="00623056">
        <w:rPr>
          <w:rFonts w:ascii="Times New Roman" w:hAnsi="Times New Roman" w:cs="Times New Roman"/>
          <w:color w:val="auto"/>
        </w:rPr>
        <w:t>асход</w:t>
      </w:r>
      <w:r w:rsidR="00623056">
        <w:rPr>
          <w:rFonts w:ascii="Times New Roman" w:hAnsi="Times New Roman" w:cs="Times New Roman"/>
          <w:color w:val="auto"/>
        </w:rPr>
        <w:t>ы</w:t>
      </w:r>
      <w:r w:rsidR="00623056" w:rsidRPr="00623056">
        <w:rPr>
          <w:rFonts w:ascii="Times New Roman" w:hAnsi="Times New Roman" w:cs="Times New Roman"/>
          <w:color w:val="auto"/>
        </w:rPr>
        <w:t xml:space="preserve"> на здравоохранение</w:t>
      </w:r>
      <w:bookmarkEnd w:id="5"/>
    </w:p>
    <w:p w14:paraId="62DCBBBF"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 xml:space="preserve">Расходы на реализацию всего блока «Новое качество жизни», включающего 12 социальных программ, уменьшатся на 3,2% при увеличении доходов федерального бюджета в 2016 г. по сравнению с 2015 г. на 3,7% и увеличении его расходов на 4,4%. При этом здравоохранение оказалось наиболее пострадавшим разделом расходов. Согласно законопроекту, объем бюджетных ассигнований из федерального бюджета на реализацию государственной программы «Развитие здравоохранения» в 2016 г. составит 349,1млрд. руб., что на 45,0 млрд. руб. или на 11,4% меньше, чем предусмотрено в федеральном бюджете 2015 г. (уточненная роспись по состоянию на 01.10.2015). Это один из самых больших показателей сокращения среди государственных программ в социальной сфере. </w:t>
      </w:r>
      <w:proofErr w:type="gramStart"/>
      <w:r w:rsidRPr="00623056">
        <w:rPr>
          <w:rFonts w:ascii="Times New Roman" w:hAnsi="Times New Roman" w:cs="Times New Roman"/>
          <w:sz w:val="26"/>
          <w:szCs w:val="26"/>
        </w:rPr>
        <w:t>Более значительное сокращение расходов предусмотрено лишь по государственной программе «Обеспечение доступным и комфортным жильем и коммунальными услугами граждан Российской Федерации» - на 19,6%. В то же время расходы на программу «Развитие образования» планируется сократить в 2016 г. на 9,4% по сравнению с 2015 г., на программу «Доступная среда» - на 6,9%, программу «Развитие культуры и туризма» - 4,6%, физическую культуру и спорт – на</w:t>
      </w:r>
      <w:proofErr w:type="gramEnd"/>
      <w:r w:rsidRPr="00623056">
        <w:rPr>
          <w:rFonts w:ascii="Times New Roman" w:hAnsi="Times New Roman" w:cs="Times New Roman"/>
          <w:sz w:val="26"/>
          <w:szCs w:val="26"/>
        </w:rPr>
        <w:t xml:space="preserve"> 2,5%.</w:t>
      </w:r>
      <w:r>
        <w:rPr>
          <w:rFonts w:ascii="Times New Roman" w:hAnsi="Times New Roman" w:cs="Times New Roman"/>
          <w:sz w:val="26"/>
          <w:szCs w:val="26"/>
        </w:rPr>
        <w:t xml:space="preserve"> </w:t>
      </w:r>
    </w:p>
    <w:p w14:paraId="491B830D"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В реальном выражении (с корректировкой на прогнозируемый индекс дефлятор-ВВП) сокращение расходов на государственную программу «Развитие здравоохранения» составит</w:t>
      </w:r>
      <w:r>
        <w:rPr>
          <w:rFonts w:ascii="Times New Roman" w:hAnsi="Times New Roman" w:cs="Times New Roman"/>
          <w:sz w:val="26"/>
          <w:szCs w:val="26"/>
        </w:rPr>
        <w:t xml:space="preserve"> 16,7%.</w:t>
      </w:r>
    </w:p>
    <w:p w14:paraId="3F7F5C72"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Прогнозируемые доходы Федерального фонда обязательного медицинского страхования увеличатся на 4,7% и составят 1661,7 млрд. руб. Но из этих сре</w:t>
      </w:r>
      <w:proofErr w:type="gramStart"/>
      <w:r w:rsidRPr="00623056">
        <w:rPr>
          <w:rFonts w:ascii="Times New Roman" w:hAnsi="Times New Roman" w:cs="Times New Roman"/>
          <w:sz w:val="26"/>
          <w:szCs w:val="26"/>
        </w:rPr>
        <w:t>дств пл</w:t>
      </w:r>
      <w:proofErr w:type="gramEnd"/>
      <w:r w:rsidRPr="00623056">
        <w:rPr>
          <w:rFonts w:ascii="Times New Roman" w:hAnsi="Times New Roman" w:cs="Times New Roman"/>
          <w:sz w:val="26"/>
          <w:szCs w:val="26"/>
        </w:rPr>
        <w:t>анируется изъять 91,2 млрд. руб. в качестве дотации на сбалансированность федеральному бюджету.</w:t>
      </w:r>
      <w:r>
        <w:rPr>
          <w:rFonts w:ascii="Times New Roman" w:hAnsi="Times New Roman" w:cs="Times New Roman"/>
          <w:sz w:val="26"/>
          <w:szCs w:val="26"/>
        </w:rPr>
        <w:t xml:space="preserve"> </w:t>
      </w:r>
      <w:r w:rsidRPr="00623056">
        <w:rPr>
          <w:rFonts w:ascii="Times New Roman" w:hAnsi="Times New Roman" w:cs="Times New Roman"/>
          <w:sz w:val="26"/>
          <w:szCs w:val="26"/>
        </w:rPr>
        <w:t>Следует отметить, что такое изъятие запланировано и в 2015</w:t>
      </w:r>
      <w:r>
        <w:rPr>
          <w:rFonts w:ascii="Times New Roman" w:hAnsi="Times New Roman" w:cs="Times New Roman"/>
          <w:sz w:val="26"/>
          <w:szCs w:val="26"/>
        </w:rPr>
        <w:t xml:space="preserve"> г. в размере 116,4 млрд. руб.</w:t>
      </w:r>
    </w:p>
    <w:p w14:paraId="140A4946"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proofErr w:type="gramStart"/>
      <w:r w:rsidRPr="00623056">
        <w:rPr>
          <w:rFonts w:ascii="Times New Roman" w:hAnsi="Times New Roman" w:cs="Times New Roman"/>
          <w:sz w:val="26"/>
          <w:szCs w:val="26"/>
        </w:rPr>
        <w:t>Планируемые расходы Федерального фонда ОМС на выполнение</w:t>
      </w:r>
      <w:r>
        <w:rPr>
          <w:rFonts w:ascii="Times New Roman" w:hAnsi="Times New Roman" w:cs="Times New Roman"/>
          <w:sz w:val="26"/>
          <w:szCs w:val="26"/>
        </w:rPr>
        <w:t xml:space="preserve"> </w:t>
      </w:r>
      <w:r w:rsidRPr="00623056">
        <w:rPr>
          <w:rFonts w:ascii="Times New Roman" w:hAnsi="Times New Roman" w:cs="Times New Roman"/>
          <w:sz w:val="26"/>
          <w:szCs w:val="26"/>
        </w:rPr>
        <w:t>территориальных программ ОМС</w:t>
      </w:r>
      <w:r>
        <w:rPr>
          <w:rFonts w:ascii="Times New Roman" w:hAnsi="Times New Roman" w:cs="Times New Roman"/>
          <w:sz w:val="26"/>
          <w:szCs w:val="26"/>
        </w:rPr>
        <w:t xml:space="preserve"> </w:t>
      </w:r>
      <w:r w:rsidRPr="00623056">
        <w:rPr>
          <w:rFonts w:ascii="Times New Roman" w:hAnsi="Times New Roman" w:cs="Times New Roman"/>
          <w:sz w:val="26"/>
          <w:szCs w:val="26"/>
        </w:rPr>
        <w:t>составят 1 458,6 млрд. руб., что на 3,1%</w:t>
      </w:r>
      <w:r>
        <w:rPr>
          <w:rFonts w:ascii="Times New Roman" w:hAnsi="Times New Roman" w:cs="Times New Roman"/>
          <w:sz w:val="26"/>
          <w:szCs w:val="26"/>
        </w:rPr>
        <w:t xml:space="preserve"> </w:t>
      </w:r>
      <w:r w:rsidRPr="00623056">
        <w:rPr>
          <w:rFonts w:ascii="Times New Roman" w:hAnsi="Times New Roman" w:cs="Times New Roman"/>
          <w:sz w:val="26"/>
          <w:szCs w:val="26"/>
        </w:rPr>
        <w:t>больше, чем в 2015 г.. Но в реальном выражении эти расходы уменьшатся на 3%. Таким образом, проект федерального бюджета и бюджета Федерального Фонда ОМС предусматривают сокращение расходов на здравоохранение в реальном выражении, несмотря на то, что, согласно прогнозу, экономический спад будет преодолен</w:t>
      </w:r>
      <w:proofErr w:type="gramEnd"/>
      <w:r w:rsidRPr="00623056">
        <w:rPr>
          <w:rFonts w:ascii="Times New Roman" w:hAnsi="Times New Roman" w:cs="Times New Roman"/>
          <w:sz w:val="26"/>
          <w:szCs w:val="26"/>
        </w:rPr>
        <w:t xml:space="preserve">. Поэтому считаем неоправданным изъятие доходов Федерального фонда ОМС в качестве дотации на сбалансированность федеральному бюджету. </w:t>
      </w:r>
      <w:r>
        <w:rPr>
          <w:rFonts w:ascii="Times New Roman" w:hAnsi="Times New Roman" w:cs="Times New Roman"/>
          <w:sz w:val="26"/>
          <w:szCs w:val="26"/>
        </w:rPr>
        <w:t>Это приведет</w:t>
      </w:r>
      <w:r w:rsidRPr="00623056">
        <w:rPr>
          <w:rFonts w:ascii="Times New Roman" w:hAnsi="Times New Roman" w:cs="Times New Roman"/>
          <w:sz w:val="26"/>
          <w:szCs w:val="26"/>
        </w:rPr>
        <w:t xml:space="preserve"> к снижению доступности и качества оказания медицинской помощи населению, предусматриваемой государственными гарантиями. </w:t>
      </w:r>
    </w:p>
    <w:p w14:paraId="69A9BD52"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proofErr w:type="gramStart"/>
      <w:r w:rsidRPr="00623056">
        <w:rPr>
          <w:rFonts w:ascii="Times New Roman" w:hAnsi="Times New Roman" w:cs="Times New Roman"/>
          <w:sz w:val="26"/>
          <w:szCs w:val="26"/>
        </w:rPr>
        <w:t xml:space="preserve">Согласно рекомендациям Всемирной организации здравоохранения, система здравоохранения в условиях экономического кризиса нуждается в увеличении ее финансирования для смягчения последствий кризиса, поскольку потребности населения в </w:t>
      </w:r>
      <w:r w:rsidRPr="00623056">
        <w:rPr>
          <w:rFonts w:ascii="Times New Roman" w:hAnsi="Times New Roman" w:cs="Times New Roman"/>
          <w:sz w:val="26"/>
          <w:szCs w:val="26"/>
        </w:rPr>
        <w:lastRenderedPageBreak/>
        <w:t>медицинской помощи в кризис, как правило, растут (дополнительные психологические стрессы, обострение хронических заболеваний и проч.)</w:t>
      </w:r>
      <w:r w:rsidRPr="00623056">
        <w:rPr>
          <w:rStyle w:val="a3"/>
          <w:rFonts w:ascii="Times New Roman" w:hAnsi="Times New Roman"/>
          <w:sz w:val="26"/>
          <w:szCs w:val="26"/>
        </w:rPr>
        <w:footnoteReference w:id="1"/>
      </w:r>
      <w:r w:rsidRPr="00623056">
        <w:rPr>
          <w:rFonts w:ascii="Times New Roman" w:hAnsi="Times New Roman" w:cs="Times New Roman"/>
          <w:sz w:val="26"/>
          <w:szCs w:val="26"/>
        </w:rPr>
        <w:t>. Если же сокращений избежать не удается, то их приоритеты должны определяться с учетом критериев минимизации последствий для доступности медицинской помощи</w:t>
      </w:r>
      <w:r>
        <w:rPr>
          <w:rFonts w:ascii="Times New Roman" w:hAnsi="Times New Roman" w:cs="Times New Roman"/>
          <w:sz w:val="26"/>
          <w:szCs w:val="26"/>
        </w:rPr>
        <w:t xml:space="preserve"> </w:t>
      </w:r>
      <w:r w:rsidRPr="00623056">
        <w:rPr>
          <w:rFonts w:ascii="Times New Roman" w:hAnsi="Times New Roman" w:cs="Times New Roman"/>
          <w:sz w:val="26"/>
          <w:szCs w:val="26"/>
        </w:rPr>
        <w:t>и</w:t>
      </w:r>
      <w:proofErr w:type="gramEnd"/>
      <w:r w:rsidRPr="00623056">
        <w:rPr>
          <w:rFonts w:ascii="Times New Roman" w:hAnsi="Times New Roman" w:cs="Times New Roman"/>
          <w:sz w:val="26"/>
          <w:szCs w:val="26"/>
        </w:rPr>
        <w:t xml:space="preserve"> отбора тех мероприятий, которые обеспечивают более высокую клинико-экономическую эффективность. </w:t>
      </w:r>
    </w:p>
    <w:p w14:paraId="2FD0EA27"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При использовании этих критериев для оценки предлагаемой структуры сокращения финансирования подпрограмм в рамках государственную программу «Развитие здравоохранения» некоторые из планируемых сокращений привлекают особое внимание. Проект федерального бюджета предусматривает наиболее значительные сокращения расходов по сравнению с 2015 г. на</w:t>
      </w:r>
      <w:r>
        <w:rPr>
          <w:rFonts w:ascii="Times New Roman" w:hAnsi="Times New Roman" w:cs="Times New Roman"/>
          <w:sz w:val="26"/>
          <w:szCs w:val="26"/>
        </w:rPr>
        <w:t xml:space="preserve"> </w:t>
      </w:r>
      <w:r w:rsidRPr="00623056">
        <w:rPr>
          <w:rFonts w:ascii="Times New Roman" w:hAnsi="Times New Roman" w:cs="Times New Roman"/>
          <w:sz w:val="26"/>
          <w:szCs w:val="26"/>
        </w:rPr>
        <w:t>подпрограммы:</w:t>
      </w:r>
    </w:p>
    <w:p w14:paraId="7CB39B34"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 xml:space="preserve"> «Профилактика заболеваний и формирование здорового образа жизни. Развитие первичной медико-санитарной помощи» - на 42%; </w:t>
      </w:r>
    </w:p>
    <w:p w14:paraId="11560D35"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«Кадровое обеспечение системы здравоохранения» - на 21,4%;</w:t>
      </w:r>
    </w:p>
    <w:p w14:paraId="2D4572B6"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«Развитие скорой медицинской помощи» - на 79,2%.</w:t>
      </w:r>
    </w:p>
    <w:p w14:paraId="5C4E7C65" w14:textId="77777777" w:rsidR="00623056" w:rsidRPr="00623056" w:rsidRDefault="00623056" w:rsidP="00623056">
      <w:pPr>
        <w:autoSpaceDE w:val="0"/>
        <w:autoSpaceDN w:val="0"/>
        <w:adjustRightInd w:val="0"/>
        <w:ind w:firstLine="709"/>
        <w:jc w:val="both"/>
        <w:rPr>
          <w:rFonts w:ascii="Times New Roman" w:hAnsi="Times New Roman" w:cs="Times New Roman"/>
          <w:sz w:val="26"/>
          <w:szCs w:val="26"/>
        </w:rPr>
      </w:pPr>
      <w:r w:rsidRPr="00623056">
        <w:rPr>
          <w:rFonts w:ascii="Times New Roman" w:hAnsi="Times New Roman" w:cs="Times New Roman"/>
          <w:sz w:val="26"/>
          <w:szCs w:val="26"/>
        </w:rPr>
        <w:t>Между тем развитие профилактики заболеваний, первичной медико-санитарной помощи и скорой помощи является намного более эффективным с клинико-экономической точки зрения, чем развитие</w:t>
      </w:r>
      <w:r>
        <w:rPr>
          <w:rFonts w:ascii="Times New Roman" w:hAnsi="Times New Roman" w:cs="Times New Roman"/>
          <w:sz w:val="26"/>
          <w:szCs w:val="26"/>
        </w:rPr>
        <w:t xml:space="preserve"> </w:t>
      </w:r>
      <w:r w:rsidRPr="00623056">
        <w:rPr>
          <w:rFonts w:ascii="Times New Roman" w:hAnsi="Times New Roman" w:cs="Times New Roman"/>
          <w:sz w:val="26"/>
          <w:szCs w:val="26"/>
        </w:rPr>
        <w:t xml:space="preserve">специализированной, в том числе высокотехнологичной медицинской помощи. Эти виды помощи, как и повышение квалификации </w:t>
      </w:r>
      <w:proofErr w:type="gramStart"/>
      <w:r w:rsidRPr="00623056">
        <w:rPr>
          <w:rFonts w:ascii="Times New Roman" w:hAnsi="Times New Roman" w:cs="Times New Roman"/>
          <w:sz w:val="26"/>
          <w:szCs w:val="26"/>
        </w:rPr>
        <w:t>кадров</w:t>
      </w:r>
      <w:proofErr w:type="gramEnd"/>
      <w:r w:rsidRPr="00623056">
        <w:rPr>
          <w:rFonts w:ascii="Times New Roman" w:hAnsi="Times New Roman" w:cs="Times New Roman"/>
          <w:sz w:val="26"/>
          <w:szCs w:val="26"/>
        </w:rPr>
        <w:t xml:space="preserve"> выступают в настоящее время ключевыми направлениями повышения эффективности системы здравоохранения в целом и предлагаемое более масштабное сокращение финансирования именно этих подпрограмм снижает </w:t>
      </w:r>
      <w:proofErr w:type="spellStart"/>
      <w:r w:rsidRPr="00623056">
        <w:rPr>
          <w:rFonts w:ascii="Times New Roman" w:hAnsi="Times New Roman" w:cs="Times New Roman"/>
          <w:sz w:val="26"/>
          <w:szCs w:val="26"/>
        </w:rPr>
        <w:t>аллокационную</w:t>
      </w:r>
      <w:proofErr w:type="spellEnd"/>
      <w:r w:rsidRPr="00623056">
        <w:rPr>
          <w:rFonts w:ascii="Times New Roman" w:hAnsi="Times New Roman" w:cs="Times New Roman"/>
          <w:sz w:val="26"/>
          <w:szCs w:val="26"/>
        </w:rPr>
        <w:t xml:space="preserve"> эффективность бюджетных расходов. Предлагается пересмотреть пропорции распределения средств в 2016 г. в рамках программы «Развитие здравоохранения». </w:t>
      </w:r>
    </w:p>
    <w:p w14:paraId="4A070515" w14:textId="77777777" w:rsidR="00623056" w:rsidRDefault="00623056">
      <w:pPr>
        <w:rPr>
          <w:rFonts w:ascii="Times New Roman" w:hAnsi="Times New Roman" w:cs="Times New Roman"/>
        </w:rPr>
      </w:pPr>
    </w:p>
    <w:p w14:paraId="0A5AE108" w14:textId="77777777" w:rsidR="008D22BE" w:rsidRPr="008D22BE" w:rsidRDefault="006B3A18" w:rsidP="008D22BE">
      <w:pPr>
        <w:pStyle w:val="1"/>
        <w:spacing w:before="240" w:after="240"/>
        <w:jc w:val="center"/>
        <w:rPr>
          <w:rFonts w:ascii="Times New Roman" w:hAnsi="Times New Roman" w:cs="Times New Roman"/>
          <w:color w:val="auto"/>
        </w:rPr>
      </w:pPr>
      <w:bookmarkStart w:id="6" w:name="_Toc434260593"/>
      <w:r>
        <w:rPr>
          <w:rFonts w:ascii="Times New Roman" w:hAnsi="Times New Roman" w:cs="Times New Roman"/>
          <w:color w:val="auto"/>
        </w:rPr>
        <w:t>6</w:t>
      </w:r>
      <w:r w:rsidR="008D22BE">
        <w:rPr>
          <w:rFonts w:ascii="Times New Roman" w:hAnsi="Times New Roman" w:cs="Times New Roman"/>
          <w:color w:val="auto"/>
        </w:rPr>
        <w:t xml:space="preserve">. </w:t>
      </w:r>
      <w:r w:rsidR="008D22BE" w:rsidRPr="008D22BE">
        <w:rPr>
          <w:rFonts w:ascii="Times New Roman" w:hAnsi="Times New Roman" w:cs="Times New Roman"/>
          <w:color w:val="auto"/>
        </w:rPr>
        <w:t>Расходы в целях социальной защиты населения</w:t>
      </w:r>
      <w:bookmarkEnd w:id="6"/>
      <w:r w:rsidR="008D22BE" w:rsidRPr="008D22BE">
        <w:rPr>
          <w:rFonts w:ascii="Times New Roman" w:hAnsi="Times New Roman" w:cs="Times New Roman"/>
          <w:color w:val="auto"/>
        </w:rPr>
        <w:t xml:space="preserve"> </w:t>
      </w:r>
    </w:p>
    <w:p w14:paraId="5B77A0AF" w14:textId="77777777" w:rsidR="008D22BE" w:rsidRPr="00206A53" w:rsidRDefault="008D22BE" w:rsidP="008D22BE">
      <w:pPr>
        <w:spacing w:after="60"/>
        <w:ind w:firstLine="567"/>
        <w:jc w:val="both"/>
        <w:rPr>
          <w:rFonts w:ascii="Times New Roman" w:hAnsi="Times New Roman" w:cs="Times New Roman"/>
          <w:sz w:val="26"/>
          <w:szCs w:val="26"/>
          <w:highlight w:val="yellow"/>
        </w:rPr>
      </w:pPr>
    </w:p>
    <w:p w14:paraId="175C3CEF" w14:textId="77777777" w:rsidR="008D22BE" w:rsidRPr="00206A53" w:rsidRDefault="008D22BE" w:rsidP="008D22BE">
      <w:pPr>
        <w:spacing w:after="60"/>
        <w:ind w:firstLine="709"/>
        <w:jc w:val="both"/>
        <w:rPr>
          <w:rFonts w:ascii="Times New Roman" w:hAnsi="Times New Roman" w:cs="Times New Roman"/>
          <w:sz w:val="26"/>
          <w:szCs w:val="26"/>
        </w:rPr>
      </w:pPr>
      <w:r w:rsidRPr="008D22BE">
        <w:rPr>
          <w:rFonts w:ascii="Times New Roman" w:hAnsi="Times New Roman" w:cs="Times New Roman"/>
          <w:sz w:val="26"/>
          <w:szCs w:val="26"/>
        </w:rPr>
        <w:t>В условиях экономического кризиса, сопровождающегося негативными тенденциями в области доходов населения, усиливается роль институтов социальной защиты населения.</w:t>
      </w:r>
    </w:p>
    <w:p w14:paraId="489A4AC1"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Федеральный бюджет реализует свои обязательства в отношении социальной защиты граждан путем расходования средств </w:t>
      </w:r>
      <w:proofErr w:type="gramStart"/>
      <w:r w:rsidRPr="00206A53">
        <w:rPr>
          <w:rFonts w:ascii="Times New Roman" w:hAnsi="Times New Roman" w:cs="Times New Roman"/>
          <w:sz w:val="26"/>
          <w:szCs w:val="26"/>
        </w:rPr>
        <w:t>на</w:t>
      </w:r>
      <w:proofErr w:type="gramEnd"/>
      <w:r w:rsidRPr="00206A53">
        <w:rPr>
          <w:rFonts w:ascii="Times New Roman" w:hAnsi="Times New Roman" w:cs="Times New Roman"/>
          <w:sz w:val="26"/>
          <w:szCs w:val="26"/>
        </w:rPr>
        <w:t xml:space="preserve">: </w:t>
      </w:r>
    </w:p>
    <w:p w14:paraId="6232B536"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 финансирование публичных нормативных обязательств, подлежащих исполнению за счет средств федерального бюджета; </w:t>
      </w:r>
    </w:p>
    <w:p w14:paraId="4E5ED66C"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lastRenderedPageBreak/>
        <w:t>- финансирование других полномочий Российской Федерации в области социальной поддержки населения через межбюджетные трансферты бюджетам государственных внебюджетных фондов и бюджетам субъектов РФ;</w:t>
      </w:r>
    </w:p>
    <w:p w14:paraId="2754C61A"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межбюджетные трансферты, передаваемые бюджетам Пенсионного фонда и Фонда социального страхования, на компенсацию выпадающих доходов и обеспечение сбалансированности их бюджетов.</w:t>
      </w:r>
    </w:p>
    <w:p w14:paraId="7A409741"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Опосредованно на выполнение социальных обязатель</w:t>
      </w:r>
      <w:proofErr w:type="gramStart"/>
      <w:r w:rsidRPr="00206A53">
        <w:rPr>
          <w:rFonts w:ascii="Times New Roman" w:hAnsi="Times New Roman" w:cs="Times New Roman"/>
          <w:sz w:val="26"/>
          <w:szCs w:val="26"/>
        </w:rPr>
        <w:t>ств вл</w:t>
      </w:r>
      <w:proofErr w:type="gramEnd"/>
      <w:r w:rsidRPr="00206A53">
        <w:rPr>
          <w:rFonts w:ascii="Times New Roman" w:hAnsi="Times New Roman" w:cs="Times New Roman"/>
          <w:sz w:val="26"/>
          <w:szCs w:val="26"/>
        </w:rPr>
        <w:t xml:space="preserve">ияет объем межбюджетных трансфертов нецелевого характера (дотаций), передаваемых из федерального бюджета бюджетам субъектов РФ. </w:t>
      </w:r>
    </w:p>
    <w:p w14:paraId="1AF78137"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В проекте федерального бюджета на 2016 год заложены </w:t>
      </w:r>
      <w:r w:rsidRPr="00206A53">
        <w:rPr>
          <w:rFonts w:ascii="Times New Roman" w:hAnsi="Times New Roman" w:cs="Times New Roman"/>
          <w:sz w:val="26"/>
          <w:szCs w:val="26"/>
          <w:u w:val="single"/>
        </w:rPr>
        <w:t>следующие решения и параметры, нацеленные на замедление темпов роста расходов в рассматриваемой сфере</w:t>
      </w:r>
      <w:r w:rsidRPr="00206A53">
        <w:rPr>
          <w:rFonts w:ascii="Times New Roman" w:hAnsi="Times New Roman" w:cs="Times New Roman"/>
          <w:sz w:val="26"/>
          <w:szCs w:val="26"/>
        </w:rPr>
        <w:t>:</w:t>
      </w:r>
    </w:p>
    <w:p w14:paraId="2424E456" w14:textId="77777777" w:rsidR="008D22BE" w:rsidRPr="00206A53" w:rsidRDefault="008D22BE" w:rsidP="008D22BE">
      <w:pPr>
        <w:pStyle w:val="af"/>
        <w:numPr>
          <w:ilvl w:val="0"/>
          <w:numId w:val="1"/>
        </w:numPr>
        <w:spacing w:after="60"/>
        <w:ind w:left="0" w:firstLine="709"/>
        <w:jc w:val="both"/>
        <w:rPr>
          <w:rFonts w:ascii="Times New Roman" w:hAnsi="Times New Roman" w:cs="Times New Roman"/>
          <w:sz w:val="26"/>
          <w:szCs w:val="26"/>
        </w:rPr>
      </w:pPr>
      <w:proofErr w:type="gramStart"/>
      <w:r w:rsidRPr="00206A53">
        <w:rPr>
          <w:rFonts w:ascii="Times New Roman" w:hAnsi="Times New Roman" w:cs="Times New Roman"/>
          <w:sz w:val="26"/>
          <w:szCs w:val="26"/>
        </w:rPr>
        <w:t>сохранены</w:t>
      </w:r>
      <w:proofErr w:type="gramEnd"/>
      <w:r w:rsidRPr="00206A53">
        <w:rPr>
          <w:rFonts w:ascii="Times New Roman" w:hAnsi="Times New Roman" w:cs="Times New Roman"/>
          <w:sz w:val="26"/>
          <w:szCs w:val="26"/>
        </w:rPr>
        <w:t xml:space="preserve"> на уровне 2015 г.:</w:t>
      </w:r>
    </w:p>
    <w:p w14:paraId="36588A6A" w14:textId="77777777" w:rsidR="008D22BE" w:rsidRPr="00206A53" w:rsidRDefault="008D22BE" w:rsidP="008D22BE">
      <w:pPr>
        <w:pStyle w:val="af"/>
        <w:spacing w:after="60"/>
        <w:ind w:left="349"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 величина материнского (семейного) капитала (453 026,0 рубля), </w:t>
      </w:r>
    </w:p>
    <w:p w14:paraId="7DC2CFCF" w14:textId="77777777" w:rsidR="008D22BE" w:rsidRPr="00206A53" w:rsidRDefault="008D22BE" w:rsidP="008D22BE">
      <w:pPr>
        <w:pStyle w:val="af"/>
        <w:spacing w:after="60"/>
        <w:ind w:left="349" w:firstLine="709"/>
        <w:jc w:val="both"/>
        <w:rPr>
          <w:rFonts w:ascii="Times New Roman" w:hAnsi="Times New Roman" w:cs="Times New Roman"/>
          <w:sz w:val="26"/>
          <w:szCs w:val="26"/>
        </w:rPr>
      </w:pPr>
      <w:r w:rsidRPr="00206A53">
        <w:rPr>
          <w:rFonts w:ascii="Times New Roman" w:hAnsi="Times New Roman" w:cs="Times New Roman"/>
          <w:sz w:val="26"/>
          <w:szCs w:val="26"/>
        </w:rPr>
        <w:t>- размер ежегодной денежной выплаты гражданам, награжденным нагрудным знаком «Почетный донор России» (12 373,0 рубля),</w:t>
      </w:r>
    </w:p>
    <w:p w14:paraId="35AB2718" w14:textId="77777777" w:rsidR="008D22BE" w:rsidRPr="00206A53" w:rsidRDefault="008D22BE" w:rsidP="008D22BE">
      <w:pPr>
        <w:pStyle w:val="af"/>
        <w:spacing w:after="60"/>
        <w:ind w:left="349"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 размер годового накопительного взноса на одного участника </w:t>
      </w:r>
      <w:proofErr w:type="spellStart"/>
      <w:r w:rsidRPr="00206A53">
        <w:rPr>
          <w:rFonts w:ascii="Times New Roman" w:hAnsi="Times New Roman" w:cs="Times New Roman"/>
          <w:sz w:val="26"/>
          <w:szCs w:val="26"/>
        </w:rPr>
        <w:t>накопительно</w:t>
      </w:r>
      <w:proofErr w:type="spellEnd"/>
      <w:r w:rsidRPr="00206A53">
        <w:rPr>
          <w:rFonts w:ascii="Times New Roman" w:hAnsi="Times New Roman" w:cs="Times New Roman"/>
          <w:sz w:val="26"/>
          <w:szCs w:val="26"/>
        </w:rPr>
        <w:t>-ипотечной системы жилищного обеспечения военнослужащих (245,88 тыс. рублей);</w:t>
      </w:r>
    </w:p>
    <w:p w14:paraId="020796F8" w14:textId="77777777" w:rsidR="008D22BE" w:rsidRPr="00206A53" w:rsidRDefault="008D22BE" w:rsidP="008D22BE">
      <w:pPr>
        <w:pStyle w:val="af"/>
        <w:numPr>
          <w:ilvl w:val="0"/>
          <w:numId w:val="1"/>
        </w:numPr>
        <w:spacing w:after="60"/>
        <w:ind w:left="0" w:firstLine="709"/>
        <w:jc w:val="both"/>
        <w:rPr>
          <w:rFonts w:ascii="Times New Roman" w:hAnsi="Times New Roman" w:cs="Times New Roman"/>
          <w:sz w:val="26"/>
          <w:szCs w:val="26"/>
        </w:rPr>
      </w:pPr>
      <w:proofErr w:type="gramStart"/>
      <w:r w:rsidRPr="00206A53">
        <w:rPr>
          <w:rFonts w:ascii="Times New Roman" w:hAnsi="Times New Roman" w:cs="Times New Roman"/>
          <w:sz w:val="26"/>
          <w:szCs w:val="26"/>
        </w:rPr>
        <w:t xml:space="preserve">отсутствует норма об индексации на 2016 год размеров других социальных денежных выплат и мер социальной поддержки (информация о планируемой с 1 февраля 2016 г. </w:t>
      </w:r>
      <w:proofErr w:type="spellStart"/>
      <w:r w:rsidRPr="00206A53">
        <w:rPr>
          <w:rFonts w:ascii="Times New Roman" w:hAnsi="Times New Roman" w:cs="Times New Roman"/>
          <w:sz w:val="26"/>
          <w:szCs w:val="26"/>
        </w:rPr>
        <w:t>доиндексации</w:t>
      </w:r>
      <w:proofErr w:type="spellEnd"/>
      <w:r w:rsidRPr="00206A53">
        <w:rPr>
          <w:rFonts w:ascii="Times New Roman" w:hAnsi="Times New Roman" w:cs="Times New Roman"/>
          <w:sz w:val="26"/>
          <w:szCs w:val="26"/>
        </w:rPr>
        <w:t xml:space="preserve"> </w:t>
      </w:r>
      <w:r w:rsidRPr="00206A53">
        <w:rPr>
          <w:rFonts w:ascii="Times New Roman" w:eastAsia="Calibri" w:hAnsi="Times New Roman" w:cs="Times New Roman"/>
          <w:sz w:val="26"/>
          <w:szCs w:val="26"/>
        </w:rPr>
        <w:t>ежемесячных денежных выплат (ЕДВ) ветеранам, инвалидам, гражданам, подвергшимся воздействию радиации</w:t>
      </w:r>
      <w:r w:rsidRPr="00206A53">
        <w:rPr>
          <w:rFonts w:ascii="Times New Roman" w:hAnsi="Times New Roman" w:cs="Times New Roman"/>
          <w:sz w:val="26"/>
          <w:szCs w:val="26"/>
        </w:rPr>
        <w:t>, и другим категориям граждан указана только в пояснительной записке к проекту федерального закона «О бюджете Пенсионного фонда Российской Федерации на 2016 год»);</w:t>
      </w:r>
      <w:proofErr w:type="gramEnd"/>
    </w:p>
    <w:p w14:paraId="78375400" w14:textId="77777777" w:rsidR="008D22BE" w:rsidRPr="00206A53" w:rsidRDefault="008D22BE" w:rsidP="008D22BE">
      <w:pPr>
        <w:pStyle w:val="af"/>
        <w:numPr>
          <w:ilvl w:val="0"/>
          <w:numId w:val="1"/>
        </w:numPr>
        <w:spacing w:after="60"/>
        <w:ind w:left="0"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приостановлено действие нормы, устанавливающей ежегодную </w:t>
      </w:r>
      <w:r w:rsidRPr="00206A53">
        <w:rPr>
          <w:rFonts w:ascii="Times New Roman" w:eastAsia="Calibri" w:hAnsi="Times New Roman" w:cs="Times New Roman"/>
          <w:sz w:val="26"/>
          <w:szCs w:val="26"/>
        </w:rPr>
        <w:t>индексаци</w:t>
      </w:r>
      <w:r w:rsidRPr="00206A53">
        <w:rPr>
          <w:rFonts w:ascii="Times New Roman" w:hAnsi="Times New Roman" w:cs="Times New Roman"/>
          <w:sz w:val="26"/>
          <w:szCs w:val="26"/>
        </w:rPr>
        <w:t>ю</w:t>
      </w:r>
      <w:r w:rsidRPr="00206A53">
        <w:rPr>
          <w:rFonts w:ascii="Times New Roman" w:eastAsia="Calibri" w:hAnsi="Times New Roman" w:cs="Times New Roman"/>
          <w:sz w:val="26"/>
          <w:szCs w:val="26"/>
        </w:rPr>
        <w:t xml:space="preserve">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w:t>
      </w:r>
    </w:p>
    <w:p w14:paraId="7D9E6EC6"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С учетом этих параметров объем бюджетных ассигнований, запланированных на реализацию государственной программы «Социальная поддержка граждан», в 2016 г. только на 3% </w:t>
      </w:r>
      <w:r w:rsidR="002A12F5">
        <w:rPr>
          <w:rFonts w:ascii="Times New Roman" w:hAnsi="Times New Roman" w:cs="Times New Roman"/>
          <w:sz w:val="26"/>
          <w:szCs w:val="26"/>
        </w:rPr>
        <w:t>больше уровня 2015 г. (Таблица 7</w:t>
      </w:r>
      <w:r w:rsidRPr="00206A53">
        <w:rPr>
          <w:rFonts w:ascii="Times New Roman" w:hAnsi="Times New Roman" w:cs="Times New Roman"/>
          <w:sz w:val="26"/>
          <w:szCs w:val="26"/>
        </w:rPr>
        <w:t>). Из наиболее крупных статей стоит отметить сокращение на 2,6% в номинальном выражении объема средств, предназначенных на предоставление материнского (семейного) капитала. В условиях повышенных темпов потребительской инфляции «замораживание» размеров социальных пособий и компенсаций ведет к обесцениванию их экономической значимости для получателей и снижению уровня социальной защищенности отдельных групп населения.</w:t>
      </w:r>
    </w:p>
    <w:p w14:paraId="420C8C8E" w14:textId="77777777" w:rsidR="008D22BE" w:rsidRPr="00206A53" w:rsidRDefault="008D22BE" w:rsidP="008D22BE">
      <w:pPr>
        <w:spacing w:after="60"/>
        <w:ind w:firstLine="709"/>
        <w:jc w:val="both"/>
        <w:rPr>
          <w:rFonts w:ascii="Times New Roman" w:hAnsi="Times New Roman" w:cs="Times New Roman"/>
          <w:sz w:val="26"/>
          <w:szCs w:val="26"/>
        </w:rPr>
      </w:pPr>
      <w:proofErr w:type="gramStart"/>
      <w:r w:rsidRPr="00206A53">
        <w:rPr>
          <w:rFonts w:ascii="Times New Roman" w:hAnsi="Times New Roman" w:cs="Times New Roman"/>
          <w:sz w:val="26"/>
          <w:szCs w:val="26"/>
        </w:rPr>
        <w:t xml:space="preserve">В то же время на фоне 5-процентного уменьшения общего объема ассигнований на </w:t>
      </w:r>
      <w:r>
        <w:rPr>
          <w:rFonts w:ascii="Times New Roman" w:hAnsi="Times New Roman" w:cs="Times New Roman"/>
          <w:sz w:val="26"/>
          <w:szCs w:val="26"/>
        </w:rPr>
        <w:t>государственную программу</w:t>
      </w:r>
      <w:r w:rsidRPr="00206A53">
        <w:rPr>
          <w:rFonts w:ascii="Times New Roman" w:hAnsi="Times New Roman" w:cs="Times New Roman"/>
          <w:sz w:val="26"/>
          <w:szCs w:val="26"/>
        </w:rPr>
        <w:t xml:space="preserve"> «Содействие занятости населения» почти на 8% увеличено финансирование социальных выплат безработным гражданам, что отражает ожидания постепенного роста безработицы в 2016 г. Основное сокращение планируемых расходов в абсолютном и относительном выражении затронуло подпрограмму «Внешн</w:t>
      </w:r>
      <w:r w:rsidR="002A12F5">
        <w:rPr>
          <w:rFonts w:ascii="Times New Roman" w:hAnsi="Times New Roman" w:cs="Times New Roman"/>
          <w:sz w:val="26"/>
          <w:szCs w:val="26"/>
        </w:rPr>
        <w:t>яя трудовая миграция» (Таблица 7</w:t>
      </w:r>
      <w:r w:rsidRPr="00206A53">
        <w:rPr>
          <w:rFonts w:ascii="Times New Roman" w:hAnsi="Times New Roman" w:cs="Times New Roman"/>
          <w:sz w:val="26"/>
          <w:szCs w:val="26"/>
        </w:rPr>
        <w:t>).</w:t>
      </w:r>
      <w:proofErr w:type="gramEnd"/>
    </w:p>
    <w:p w14:paraId="7678E957"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lastRenderedPageBreak/>
        <w:t xml:space="preserve">Кроме того, </w:t>
      </w:r>
      <w:r w:rsidRPr="00206A53">
        <w:rPr>
          <w:rFonts w:ascii="Times New Roman" w:hAnsi="Times New Roman" w:cs="Times New Roman"/>
          <w:sz w:val="26"/>
          <w:szCs w:val="26"/>
          <w:u w:val="single"/>
        </w:rPr>
        <w:t>на снижение объема расходных обязательств федерального бюджета направлены такие предложенные меры</w:t>
      </w:r>
      <w:r w:rsidRPr="00206A53">
        <w:rPr>
          <w:rFonts w:ascii="Times New Roman" w:hAnsi="Times New Roman" w:cs="Times New Roman"/>
          <w:sz w:val="26"/>
          <w:szCs w:val="26"/>
        </w:rPr>
        <w:t>, как:</w:t>
      </w:r>
    </w:p>
    <w:p w14:paraId="179CB2EE"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 продление моратория на взносы в накопительную составляющую системы обязательного пенсионного страхования в 2016 году, </w:t>
      </w:r>
    </w:p>
    <w:p w14:paraId="718925E8"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 индексация страховых пенсий и фиксированной выплаты к ней в 2016 г. на 4%, </w:t>
      </w:r>
    </w:p>
    <w:p w14:paraId="35802021"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отмена индексации пенсий работающим пенсионерам.</w:t>
      </w:r>
    </w:p>
    <w:p w14:paraId="0F5D6CBB"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Несмотря на эти меры, рост расходов на непрограммное направление деятельности «Развитие пенсионной системы» запланирован более значительный (на 7,8%), чем на социальную поддержку. Максимальный прирост (на 14-17%) приходится на трансферты, позволяющие сбалансировать бюджет Пенсионного фонда (на компенсацию выпадающих доходов в связи с установлением пониженных тарифов страховых взносов на обязательное пенсионное страхование и на обязательное пенсионное страхование) (Та</w:t>
      </w:r>
      <w:r w:rsidR="002A12F5">
        <w:rPr>
          <w:rFonts w:ascii="Times New Roman" w:hAnsi="Times New Roman" w:cs="Times New Roman"/>
          <w:sz w:val="26"/>
          <w:szCs w:val="26"/>
        </w:rPr>
        <w:t>блица 7</w:t>
      </w:r>
      <w:r w:rsidRPr="00206A53">
        <w:rPr>
          <w:rFonts w:ascii="Times New Roman" w:hAnsi="Times New Roman" w:cs="Times New Roman"/>
          <w:sz w:val="26"/>
          <w:szCs w:val="26"/>
        </w:rPr>
        <w:t xml:space="preserve">). </w:t>
      </w:r>
    </w:p>
    <w:p w14:paraId="0E20F424" w14:textId="77777777" w:rsidR="008D22BE" w:rsidRPr="00206A53" w:rsidRDefault="008D22BE" w:rsidP="008D22BE">
      <w:pPr>
        <w:spacing w:after="60"/>
        <w:ind w:firstLine="709"/>
        <w:jc w:val="both"/>
        <w:rPr>
          <w:rFonts w:ascii="Times New Roman" w:hAnsi="Times New Roman" w:cs="Times New Roman"/>
          <w:sz w:val="26"/>
          <w:szCs w:val="26"/>
        </w:rPr>
      </w:pPr>
      <w:r w:rsidRPr="00206A53">
        <w:rPr>
          <w:rFonts w:ascii="Times New Roman" w:hAnsi="Times New Roman" w:cs="Times New Roman"/>
          <w:sz w:val="26"/>
          <w:szCs w:val="26"/>
        </w:rPr>
        <w:t xml:space="preserve">Вместе с тем, в проекте федерального бюджета на 2016 год </w:t>
      </w:r>
      <w:r w:rsidRPr="00206A53">
        <w:rPr>
          <w:rFonts w:ascii="Times New Roman" w:hAnsi="Times New Roman" w:cs="Times New Roman"/>
          <w:sz w:val="26"/>
          <w:szCs w:val="26"/>
          <w:u w:val="single"/>
        </w:rPr>
        <w:t>значительно увеличен</w:t>
      </w:r>
      <w:r w:rsidRPr="00206A53">
        <w:rPr>
          <w:rFonts w:ascii="Times New Roman" w:hAnsi="Times New Roman" w:cs="Times New Roman"/>
          <w:sz w:val="26"/>
          <w:szCs w:val="26"/>
        </w:rPr>
        <w:t xml:space="preserve"> такой параметр, как </w:t>
      </w:r>
      <w:r w:rsidRPr="00206A53">
        <w:rPr>
          <w:rFonts w:ascii="Times New Roman" w:hAnsi="Times New Roman" w:cs="Times New Roman"/>
          <w:sz w:val="26"/>
          <w:szCs w:val="26"/>
          <w:u w:val="single"/>
        </w:rPr>
        <w:t>размер прожиточного минимума пенсионера</w:t>
      </w:r>
      <w:r w:rsidRPr="00206A53">
        <w:rPr>
          <w:rFonts w:ascii="Times New Roman" w:hAnsi="Times New Roman" w:cs="Times New Roman"/>
          <w:sz w:val="26"/>
          <w:szCs w:val="26"/>
        </w:rPr>
        <w:t xml:space="preserve"> (ПМП) в целом по Российской Федерации, устанавливаемого для определения размера федеральной социальной доплаты к пенсии. На 2016 г. его величина составит 8 803 руб., или 123% от уровня 2015 г. От соотношения федеральной и региональной величины ПМП зависит источник финансирования социальных доплат к пенсии неработающих пенсионеров – федеральный бюджет или бюджет субъекта РФ. </w:t>
      </w:r>
      <w:proofErr w:type="gramStart"/>
      <w:r w:rsidRPr="008D22BE">
        <w:rPr>
          <w:rFonts w:ascii="Times New Roman" w:hAnsi="Times New Roman" w:cs="Times New Roman"/>
          <w:sz w:val="26"/>
          <w:szCs w:val="26"/>
        </w:rPr>
        <w:t>Увеличение федерального ПМП, адекватное реальному росту стоимости минимальной потребительской корзины за 2015 г.</w:t>
      </w:r>
      <w:r w:rsidRPr="00206A53">
        <w:rPr>
          <w:rFonts w:ascii="Times New Roman" w:hAnsi="Times New Roman" w:cs="Times New Roman"/>
          <w:sz w:val="26"/>
          <w:szCs w:val="26"/>
        </w:rPr>
        <w:t>, позволит подавляюще</w:t>
      </w:r>
      <w:r>
        <w:rPr>
          <w:rFonts w:ascii="Times New Roman" w:hAnsi="Times New Roman" w:cs="Times New Roman"/>
          <w:sz w:val="26"/>
          <w:szCs w:val="26"/>
        </w:rPr>
        <w:t xml:space="preserve">му большинству субъектов РФ так </w:t>
      </w:r>
      <w:r w:rsidRPr="00206A53">
        <w:rPr>
          <w:rFonts w:ascii="Times New Roman" w:hAnsi="Times New Roman" w:cs="Times New Roman"/>
          <w:sz w:val="26"/>
          <w:szCs w:val="26"/>
        </w:rPr>
        <w:t>же повысить региональные величины ПМП, чтобы по-прежнему выплачивать социальную доплату за счет средств федерального бюджета.</w:t>
      </w:r>
      <w:proofErr w:type="gramEnd"/>
      <w:r w:rsidRPr="00206A53">
        <w:rPr>
          <w:rFonts w:ascii="Times New Roman" w:hAnsi="Times New Roman" w:cs="Times New Roman"/>
          <w:sz w:val="26"/>
          <w:szCs w:val="26"/>
        </w:rPr>
        <w:t xml:space="preserve"> В то же время в условиях повышенных темпов инфляции и запланированной сдержанной индексации страховых пенсий предполагаемое увеличение только на 1% ассигнований на федеральную социальную доплату (Таблица </w:t>
      </w:r>
      <w:r w:rsidR="002A12F5">
        <w:rPr>
          <w:rFonts w:ascii="Times New Roman" w:hAnsi="Times New Roman" w:cs="Times New Roman"/>
          <w:sz w:val="26"/>
          <w:szCs w:val="26"/>
        </w:rPr>
        <w:t>7</w:t>
      </w:r>
      <w:r w:rsidRPr="00206A53">
        <w:rPr>
          <w:rFonts w:ascii="Times New Roman" w:hAnsi="Times New Roman" w:cs="Times New Roman"/>
          <w:sz w:val="26"/>
          <w:szCs w:val="26"/>
        </w:rPr>
        <w:t xml:space="preserve">) может оказаться недостаточным. </w:t>
      </w:r>
    </w:p>
    <w:p w14:paraId="2142B104" w14:textId="77777777" w:rsidR="008D22BE" w:rsidRPr="00206A53" w:rsidRDefault="008D22BE" w:rsidP="008D22BE">
      <w:pPr>
        <w:rPr>
          <w:rFonts w:ascii="Times New Roman" w:hAnsi="Times New Roman" w:cs="Times New Roman"/>
          <w:sz w:val="26"/>
          <w:szCs w:val="26"/>
        </w:rPr>
      </w:pPr>
      <w:r w:rsidRPr="00206A53">
        <w:rPr>
          <w:rFonts w:ascii="Times New Roman" w:hAnsi="Times New Roman" w:cs="Times New Roman"/>
          <w:sz w:val="26"/>
          <w:szCs w:val="26"/>
        </w:rPr>
        <w:br w:type="page"/>
      </w:r>
    </w:p>
    <w:p w14:paraId="168DB92D" w14:textId="77777777" w:rsidR="008D22BE" w:rsidRPr="002A12F5" w:rsidRDefault="008D22BE" w:rsidP="008D22BE">
      <w:pPr>
        <w:pStyle w:val="af"/>
        <w:spacing w:after="60"/>
        <w:ind w:left="0"/>
        <w:jc w:val="center"/>
        <w:rPr>
          <w:rFonts w:ascii="Times New Roman" w:hAnsi="Times New Roman" w:cs="Times New Roman"/>
          <w:b/>
          <w:sz w:val="26"/>
          <w:szCs w:val="26"/>
        </w:rPr>
      </w:pPr>
      <w:r w:rsidRPr="002A12F5">
        <w:rPr>
          <w:rFonts w:ascii="Times New Roman" w:hAnsi="Times New Roman" w:cs="Times New Roman"/>
          <w:b/>
          <w:sz w:val="26"/>
          <w:szCs w:val="26"/>
        </w:rPr>
        <w:lastRenderedPageBreak/>
        <w:t xml:space="preserve">Таблица </w:t>
      </w:r>
      <w:r w:rsidR="002A12F5" w:rsidRPr="002A12F5">
        <w:rPr>
          <w:rFonts w:ascii="Times New Roman" w:hAnsi="Times New Roman" w:cs="Times New Roman"/>
          <w:b/>
          <w:sz w:val="26"/>
          <w:szCs w:val="26"/>
        </w:rPr>
        <w:t>7</w:t>
      </w:r>
      <w:r w:rsidRPr="002A12F5">
        <w:rPr>
          <w:rFonts w:ascii="Times New Roman" w:hAnsi="Times New Roman" w:cs="Times New Roman"/>
          <w:b/>
          <w:sz w:val="26"/>
          <w:szCs w:val="26"/>
        </w:rPr>
        <w:t>.Объем бюджетных ассигнований федерального бюджета в целях социальной защиты населения, запланированный на 2015 и 2016 годы</w:t>
      </w:r>
    </w:p>
    <w:tbl>
      <w:tblPr>
        <w:tblStyle w:val="a8"/>
        <w:tblW w:w="5000" w:type="pct"/>
        <w:tblInd w:w="108" w:type="dxa"/>
        <w:tblLook w:val="04A0" w:firstRow="1" w:lastRow="0" w:firstColumn="1" w:lastColumn="0" w:noHBand="0" w:noVBand="1"/>
      </w:tblPr>
      <w:tblGrid>
        <w:gridCol w:w="3474"/>
        <w:gridCol w:w="2407"/>
        <w:gridCol w:w="2172"/>
        <w:gridCol w:w="2368"/>
      </w:tblGrid>
      <w:tr w:rsidR="008D22BE" w:rsidRPr="008D22BE" w14:paraId="37D53A54" w14:textId="77777777" w:rsidTr="008D22BE">
        <w:trPr>
          <w:tblHeader/>
        </w:trPr>
        <w:tc>
          <w:tcPr>
            <w:tcW w:w="3119" w:type="dxa"/>
            <w:vMerge w:val="restart"/>
            <w:vAlign w:val="center"/>
          </w:tcPr>
          <w:p w14:paraId="5605BB34" w14:textId="77777777" w:rsidR="008D22BE" w:rsidRPr="008D22BE" w:rsidRDefault="008D22BE" w:rsidP="0053532A">
            <w:pPr>
              <w:pStyle w:val="af"/>
              <w:spacing w:line="276" w:lineRule="auto"/>
              <w:ind w:left="0"/>
              <w:contextualSpacing w:val="0"/>
              <w:jc w:val="center"/>
              <w:rPr>
                <w:rFonts w:ascii="Times New Roman" w:hAnsi="Times New Roman" w:cs="Times New Roman"/>
              </w:rPr>
            </w:pPr>
            <w:proofErr w:type="spellStart"/>
            <w:r w:rsidRPr="008D22BE">
              <w:rPr>
                <w:rFonts w:ascii="Times New Roman" w:hAnsi="Times New Roman" w:cs="Times New Roman"/>
              </w:rPr>
              <w:t>Наименование</w:t>
            </w:r>
            <w:proofErr w:type="spellEnd"/>
            <w:r w:rsidRPr="008D22BE">
              <w:rPr>
                <w:rFonts w:ascii="Times New Roman" w:hAnsi="Times New Roman" w:cs="Times New Roman"/>
              </w:rPr>
              <w:t xml:space="preserve"> </w:t>
            </w:r>
            <w:proofErr w:type="spellStart"/>
            <w:r w:rsidRPr="008D22BE">
              <w:rPr>
                <w:rFonts w:ascii="Times New Roman" w:hAnsi="Times New Roman" w:cs="Times New Roman"/>
              </w:rPr>
              <w:t>показателя</w:t>
            </w:r>
            <w:proofErr w:type="spellEnd"/>
          </w:p>
        </w:tc>
        <w:tc>
          <w:tcPr>
            <w:tcW w:w="4111" w:type="dxa"/>
            <w:gridSpan w:val="2"/>
            <w:vAlign w:val="center"/>
          </w:tcPr>
          <w:p w14:paraId="34EB9B26" w14:textId="77777777" w:rsidR="008D22BE" w:rsidRPr="008D22BE" w:rsidRDefault="008D22BE" w:rsidP="0053532A">
            <w:pPr>
              <w:pStyle w:val="af"/>
              <w:spacing w:line="276" w:lineRule="auto"/>
              <w:ind w:left="0"/>
              <w:contextualSpacing w:val="0"/>
              <w:jc w:val="center"/>
              <w:rPr>
                <w:rFonts w:ascii="Times New Roman" w:hAnsi="Times New Roman" w:cs="Times New Roman"/>
                <w:lang w:val="ru-RU"/>
              </w:rPr>
            </w:pPr>
            <w:r w:rsidRPr="008D22BE">
              <w:rPr>
                <w:rFonts w:ascii="Times New Roman" w:hAnsi="Times New Roman" w:cs="Times New Roman"/>
                <w:lang w:val="ru-RU"/>
              </w:rPr>
              <w:t xml:space="preserve">Объем запланированных расходов, </w:t>
            </w:r>
            <w:proofErr w:type="gramStart"/>
            <w:r w:rsidRPr="008D22BE">
              <w:rPr>
                <w:rFonts w:ascii="Times New Roman" w:hAnsi="Times New Roman" w:cs="Times New Roman"/>
                <w:lang w:val="ru-RU"/>
              </w:rPr>
              <w:t>млн</w:t>
            </w:r>
            <w:proofErr w:type="gramEnd"/>
            <w:r w:rsidRPr="008D22BE">
              <w:rPr>
                <w:rFonts w:ascii="Times New Roman" w:hAnsi="Times New Roman" w:cs="Times New Roman"/>
                <w:lang w:val="ru-RU"/>
              </w:rPr>
              <w:t xml:space="preserve"> руб.</w:t>
            </w:r>
          </w:p>
        </w:tc>
        <w:tc>
          <w:tcPr>
            <w:tcW w:w="2126" w:type="dxa"/>
            <w:vMerge w:val="restart"/>
            <w:vAlign w:val="center"/>
          </w:tcPr>
          <w:p w14:paraId="4DABD1CD" w14:textId="77777777" w:rsidR="008D22BE" w:rsidRPr="008D22BE" w:rsidRDefault="008D22BE" w:rsidP="0053532A">
            <w:pPr>
              <w:pStyle w:val="af"/>
              <w:spacing w:line="276" w:lineRule="auto"/>
              <w:ind w:left="0"/>
              <w:contextualSpacing w:val="0"/>
              <w:jc w:val="center"/>
              <w:rPr>
                <w:rFonts w:ascii="Times New Roman" w:hAnsi="Times New Roman" w:cs="Times New Roman"/>
                <w:lang w:val="ru-RU"/>
              </w:rPr>
            </w:pPr>
            <w:r w:rsidRPr="008D22BE">
              <w:rPr>
                <w:rFonts w:ascii="Times New Roman" w:hAnsi="Times New Roman" w:cs="Times New Roman"/>
                <w:lang w:val="ru-RU"/>
              </w:rPr>
              <w:t xml:space="preserve">Темпы роста, </w:t>
            </w:r>
          </w:p>
          <w:p w14:paraId="539C8CDF" w14:textId="77777777" w:rsidR="008D22BE" w:rsidRPr="008D22BE" w:rsidRDefault="008D22BE" w:rsidP="0053532A">
            <w:pPr>
              <w:pStyle w:val="af"/>
              <w:spacing w:line="276" w:lineRule="auto"/>
              <w:ind w:left="0"/>
              <w:contextualSpacing w:val="0"/>
              <w:jc w:val="center"/>
              <w:rPr>
                <w:rFonts w:ascii="Times New Roman" w:hAnsi="Times New Roman" w:cs="Times New Roman"/>
                <w:lang w:val="ru-RU"/>
              </w:rPr>
            </w:pPr>
            <w:r w:rsidRPr="008D22BE">
              <w:rPr>
                <w:rFonts w:ascii="Times New Roman" w:hAnsi="Times New Roman" w:cs="Times New Roman"/>
                <w:lang w:val="ru-RU"/>
              </w:rPr>
              <w:t>2016 г. к 2015 г., %</w:t>
            </w:r>
          </w:p>
        </w:tc>
      </w:tr>
      <w:tr w:rsidR="008D22BE" w:rsidRPr="008D22BE" w14:paraId="0B25920E" w14:textId="77777777" w:rsidTr="008D22BE">
        <w:trPr>
          <w:tblHeader/>
        </w:trPr>
        <w:tc>
          <w:tcPr>
            <w:tcW w:w="3119" w:type="dxa"/>
            <w:vMerge/>
          </w:tcPr>
          <w:p w14:paraId="0A2B70E6" w14:textId="77777777" w:rsidR="008D22BE" w:rsidRPr="008D22BE" w:rsidRDefault="008D22BE" w:rsidP="0053532A">
            <w:pPr>
              <w:pStyle w:val="af"/>
              <w:spacing w:line="276" w:lineRule="auto"/>
              <w:ind w:left="0"/>
              <w:contextualSpacing w:val="0"/>
              <w:jc w:val="both"/>
              <w:rPr>
                <w:rFonts w:ascii="Times New Roman" w:hAnsi="Times New Roman" w:cs="Times New Roman"/>
                <w:lang w:val="ru-RU"/>
              </w:rPr>
            </w:pPr>
          </w:p>
        </w:tc>
        <w:tc>
          <w:tcPr>
            <w:tcW w:w="2161" w:type="dxa"/>
            <w:vAlign w:val="center"/>
          </w:tcPr>
          <w:p w14:paraId="3F96ECDD" w14:textId="77777777" w:rsidR="008D22BE" w:rsidRPr="008D22BE" w:rsidRDefault="008D22BE" w:rsidP="0053532A">
            <w:pPr>
              <w:pStyle w:val="af"/>
              <w:spacing w:line="276" w:lineRule="auto"/>
              <w:ind w:left="0"/>
              <w:contextualSpacing w:val="0"/>
              <w:jc w:val="center"/>
              <w:rPr>
                <w:rFonts w:ascii="Times New Roman" w:hAnsi="Times New Roman" w:cs="Times New Roman"/>
              </w:rPr>
            </w:pPr>
            <w:r w:rsidRPr="008D22BE">
              <w:rPr>
                <w:rFonts w:ascii="Times New Roman" w:hAnsi="Times New Roman" w:cs="Times New Roman"/>
              </w:rPr>
              <w:t xml:space="preserve">2015 г. </w:t>
            </w:r>
          </w:p>
          <w:p w14:paraId="1C09B4CD" w14:textId="77777777" w:rsidR="008D22BE" w:rsidRPr="008D22BE" w:rsidRDefault="008D22BE" w:rsidP="0053532A">
            <w:pPr>
              <w:pStyle w:val="af"/>
              <w:spacing w:line="276" w:lineRule="auto"/>
              <w:ind w:left="0"/>
              <w:contextualSpacing w:val="0"/>
              <w:jc w:val="center"/>
              <w:rPr>
                <w:rFonts w:ascii="Times New Roman" w:hAnsi="Times New Roman" w:cs="Times New Roman"/>
              </w:rPr>
            </w:pPr>
            <w:r w:rsidRPr="008D22BE">
              <w:rPr>
                <w:rFonts w:ascii="Times New Roman" w:hAnsi="Times New Roman" w:cs="Times New Roman"/>
              </w:rPr>
              <w:t>(</w:t>
            </w:r>
            <w:proofErr w:type="spellStart"/>
            <w:r w:rsidRPr="008D22BE">
              <w:rPr>
                <w:rFonts w:ascii="Times New Roman" w:hAnsi="Times New Roman" w:cs="Times New Roman"/>
              </w:rPr>
              <w:t>роспись</w:t>
            </w:r>
            <w:proofErr w:type="spellEnd"/>
            <w:r w:rsidRPr="008D22BE">
              <w:rPr>
                <w:rFonts w:ascii="Times New Roman" w:hAnsi="Times New Roman" w:cs="Times New Roman"/>
              </w:rPr>
              <w:t xml:space="preserve"> </w:t>
            </w:r>
            <w:proofErr w:type="spellStart"/>
            <w:r w:rsidRPr="008D22BE">
              <w:rPr>
                <w:rFonts w:ascii="Times New Roman" w:hAnsi="Times New Roman" w:cs="Times New Roman"/>
              </w:rPr>
              <w:t>на</w:t>
            </w:r>
            <w:proofErr w:type="spellEnd"/>
            <w:r w:rsidRPr="008D22BE">
              <w:rPr>
                <w:rFonts w:ascii="Times New Roman" w:hAnsi="Times New Roman" w:cs="Times New Roman"/>
              </w:rPr>
              <w:t xml:space="preserve"> 1 </w:t>
            </w:r>
            <w:proofErr w:type="spellStart"/>
            <w:r w:rsidRPr="008D22BE">
              <w:rPr>
                <w:rFonts w:ascii="Times New Roman" w:hAnsi="Times New Roman" w:cs="Times New Roman"/>
              </w:rPr>
              <w:t>октября</w:t>
            </w:r>
            <w:proofErr w:type="spellEnd"/>
            <w:r w:rsidRPr="008D22BE">
              <w:rPr>
                <w:rFonts w:ascii="Times New Roman" w:hAnsi="Times New Roman" w:cs="Times New Roman"/>
              </w:rPr>
              <w:t>)</w:t>
            </w:r>
          </w:p>
        </w:tc>
        <w:tc>
          <w:tcPr>
            <w:tcW w:w="1950" w:type="dxa"/>
            <w:vAlign w:val="center"/>
          </w:tcPr>
          <w:p w14:paraId="3B69E022" w14:textId="77777777" w:rsidR="008D22BE" w:rsidRPr="008D22BE" w:rsidRDefault="008D22BE" w:rsidP="0053532A">
            <w:pPr>
              <w:pStyle w:val="af"/>
              <w:spacing w:line="276" w:lineRule="auto"/>
              <w:ind w:left="0"/>
              <w:contextualSpacing w:val="0"/>
              <w:jc w:val="center"/>
              <w:rPr>
                <w:rFonts w:ascii="Times New Roman" w:hAnsi="Times New Roman" w:cs="Times New Roman"/>
              </w:rPr>
            </w:pPr>
            <w:r w:rsidRPr="008D22BE">
              <w:rPr>
                <w:rFonts w:ascii="Times New Roman" w:hAnsi="Times New Roman" w:cs="Times New Roman"/>
              </w:rPr>
              <w:t>2016 г. (</w:t>
            </w:r>
            <w:proofErr w:type="spellStart"/>
            <w:r w:rsidRPr="008D22BE">
              <w:rPr>
                <w:rFonts w:ascii="Times New Roman" w:hAnsi="Times New Roman" w:cs="Times New Roman"/>
              </w:rPr>
              <w:t>проект</w:t>
            </w:r>
            <w:proofErr w:type="spellEnd"/>
            <w:r w:rsidRPr="008D22BE">
              <w:rPr>
                <w:rFonts w:ascii="Times New Roman" w:hAnsi="Times New Roman" w:cs="Times New Roman"/>
              </w:rPr>
              <w:t>)</w:t>
            </w:r>
          </w:p>
        </w:tc>
        <w:tc>
          <w:tcPr>
            <w:tcW w:w="2126" w:type="dxa"/>
            <w:vMerge/>
            <w:vAlign w:val="center"/>
          </w:tcPr>
          <w:p w14:paraId="67C85303" w14:textId="77777777" w:rsidR="008D22BE" w:rsidRPr="008D22BE" w:rsidRDefault="008D22BE" w:rsidP="0053532A">
            <w:pPr>
              <w:pStyle w:val="af"/>
              <w:spacing w:line="276" w:lineRule="auto"/>
              <w:ind w:left="0"/>
              <w:contextualSpacing w:val="0"/>
              <w:jc w:val="center"/>
              <w:rPr>
                <w:rFonts w:ascii="Times New Roman" w:hAnsi="Times New Roman" w:cs="Times New Roman"/>
              </w:rPr>
            </w:pPr>
          </w:p>
        </w:tc>
      </w:tr>
      <w:tr w:rsidR="008D22BE" w:rsidRPr="008D22BE" w14:paraId="1A8420BB" w14:textId="77777777" w:rsidTr="008D22BE">
        <w:tc>
          <w:tcPr>
            <w:tcW w:w="3119" w:type="dxa"/>
            <w:vAlign w:val="bottom"/>
          </w:tcPr>
          <w:p w14:paraId="3B60CF25" w14:textId="77777777" w:rsidR="008D22BE" w:rsidRPr="008D22BE" w:rsidRDefault="008D22BE" w:rsidP="0053532A">
            <w:pPr>
              <w:spacing w:line="276" w:lineRule="auto"/>
              <w:ind w:right="-108"/>
              <w:rPr>
                <w:rFonts w:ascii="Times New Roman" w:hAnsi="Times New Roman" w:cs="Times New Roman"/>
                <w:b/>
                <w:color w:val="000000"/>
              </w:rPr>
            </w:pPr>
            <w:r w:rsidRPr="008D22BE">
              <w:rPr>
                <w:rFonts w:ascii="Times New Roman" w:hAnsi="Times New Roman" w:cs="Times New Roman"/>
                <w:b/>
                <w:color w:val="000000"/>
              </w:rPr>
              <w:t>ГП «</w:t>
            </w:r>
            <w:proofErr w:type="spellStart"/>
            <w:r w:rsidRPr="008D22BE">
              <w:rPr>
                <w:rFonts w:ascii="Times New Roman" w:hAnsi="Times New Roman" w:cs="Times New Roman"/>
                <w:b/>
                <w:color w:val="000000"/>
              </w:rPr>
              <w:t>Социальная</w:t>
            </w:r>
            <w:proofErr w:type="spellEnd"/>
            <w:r w:rsidRPr="008D22BE">
              <w:rPr>
                <w:rFonts w:ascii="Times New Roman" w:hAnsi="Times New Roman" w:cs="Times New Roman"/>
                <w:b/>
                <w:color w:val="000000"/>
              </w:rPr>
              <w:t xml:space="preserve"> </w:t>
            </w:r>
            <w:proofErr w:type="spellStart"/>
            <w:r w:rsidRPr="008D22BE">
              <w:rPr>
                <w:rFonts w:ascii="Times New Roman" w:hAnsi="Times New Roman" w:cs="Times New Roman"/>
                <w:b/>
                <w:color w:val="000000"/>
              </w:rPr>
              <w:t>поддержка</w:t>
            </w:r>
            <w:proofErr w:type="spellEnd"/>
            <w:r w:rsidRPr="008D22BE">
              <w:rPr>
                <w:rFonts w:ascii="Times New Roman" w:hAnsi="Times New Roman" w:cs="Times New Roman"/>
                <w:b/>
                <w:color w:val="000000"/>
              </w:rPr>
              <w:t xml:space="preserve"> </w:t>
            </w:r>
            <w:proofErr w:type="spellStart"/>
            <w:r w:rsidRPr="008D22BE">
              <w:rPr>
                <w:rFonts w:ascii="Times New Roman" w:hAnsi="Times New Roman" w:cs="Times New Roman"/>
                <w:b/>
                <w:color w:val="000000"/>
              </w:rPr>
              <w:t>граждан</w:t>
            </w:r>
            <w:proofErr w:type="spellEnd"/>
            <w:r w:rsidRPr="008D22BE">
              <w:rPr>
                <w:rFonts w:ascii="Times New Roman" w:hAnsi="Times New Roman" w:cs="Times New Roman"/>
                <w:b/>
                <w:color w:val="000000"/>
              </w:rPr>
              <w:t>»</w:t>
            </w:r>
          </w:p>
        </w:tc>
        <w:tc>
          <w:tcPr>
            <w:tcW w:w="2161" w:type="dxa"/>
            <w:vAlign w:val="center"/>
          </w:tcPr>
          <w:p w14:paraId="0BF790CB" w14:textId="77777777" w:rsidR="008D22BE" w:rsidRPr="008D22BE" w:rsidRDefault="008D22BE" w:rsidP="0053532A">
            <w:pPr>
              <w:spacing w:line="276" w:lineRule="auto"/>
              <w:jc w:val="center"/>
              <w:rPr>
                <w:rFonts w:ascii="Times New Roman" w:hAnsi="Times New Roman" w:cs="Times New Roman"/>
                <w:b/>
                <w:color w:val="000000"/>
              </w:rPr>
            </w:pPr>
            <w:r w:rsidRPr="008D22BE">
              <w:rPr>
                <w:rFonts w:ascii="Times New Roman" w:hAnsi="Times New Roman" w:cs="Times New Roman"/>
                <w:b/>
                <w:color w:val="000000"/>
              </w:rPr>
              <w:t>1 165 630,5</w:t>
            </w:r>
          </w:p>
        </w:tc>
        <w:tc>
          <w:tcPr>
            <w:tcW w:w="1950" w:type="dxa"/>
            <w:vAlign w:val="center"/>
          </w:tcPr>
          <w:p w14:paraId="337A60C3" w14:textId="77777777" w:rsidR="008D22BE" w:rsidRPr="008D22BE" w:rsidRDefault="008D22BE" w:rsidP="0053532A">
            <w:pPr>
              <w:spacing w:line="276" w:lineRule="auto"/>
              <w:jc w:val="center"/>
              <w:rPr>
                <w:rFonts w:ascii="Times New Roman" w:hAnsi="Times New Roman" w:cs="Times New Roman"/>
                <w:b/>
                <w:color w:val="000000"/>
              </w:rPr>
            </w:pPr>
            <w:r w:rsidRPr="008D22BE">
              <w:rPr>
                <w:rFonts w:ascii="Times New Roman" w:hAnsi="Times New Roman" w:cs="Times New Roman"/>
                <w:b/>
                <w:color w:val="000000"/>
              </w:rPr>
              <w:t>1 201 343,2</w:t>
            </w:r>
          </w:p>
        </w:tc>
        <w:tc>
          <w:tcPr>
            <w:tcW w:w="2126" w:type="dxa"/>
            <w:vAlign w:val="center"/>
          </w:tcPr>
          <w:p w14:paraId="78DEE856" w14:textId="77777777" w:rsidR="008D22BE" w:rsidRPr="008D22BE" w:rsidRDefault="008D22BE" w:rsidP="0053532A">
            <w:pPr>
              <w:spacing w:line="276" w:lineRule="auto"/>
              <w:jc w:val="center"/>
              <w:rPr>
                <w:rFonts w:ascii="Times New Roman" w:hAnsi="Times New Roman" w:cs="Times New Roman"/>
                <w:b/>
                <w:color w:val="000000"/>
              </w:rPr>
            </w:pPr>
            <w:r w:rsidRPr="008D22BE">
              <w:rPr>
                <w:rFonts w:ascii="Times New Roman" w:hAnsi="Times New Roman" w:cs="Times New Roman"/>
                <w:b/>
                <w:color w:val="000000"/>
              </w:rPr>
              <w:t>103,0</w:t>
            </w:r>
          </w:p>
        </w:tc>
      </w:tr>
      <w:tr w:rsidR="008D22BE" w:rsidRPr="008D22BE" w14:paraId="01FC85ED" w14:textId="77777777" w:rsidTr="008D22BE">
        <w:tc>
          <w:tcPr>
            <w:tcW w:w="3119" w:type="dxa"/>
            <w:vAlign w:val="bottom"/>
          </w:tcPr>
          <w:p w14:paraId="59E87894" w14:textId="77777777" w:rsidR="008D22BE" w:rsidRPr="008D22BE" w:rsidRDefault="008D22BE" w:rsidP="0053532A">
            <w:pPr>
              <w:spacing w:line="276" w:lineRule="auto"/>
              <w:ind w:right="-108" w:firstLine="318"/>
              <w:rPr>
                <w:rFonts w:ascii="Times New Roman" w:hAnsi="Times New Roman" w:cs="Times New Roman"/>
                <w:b/>
                <w:color w:val="000000"/>
              </w:rPr>
            </w:pPr>
            <w:r w:rsidRPr="008D22BE">
              <w:rPr>
                <w:rFonts w:ascii="Times New Roman" w:hAnsi="Times New Roman" w:cs="Times New Roman"/>
                <w:i/>
                <w:color w:val="000000"/>
              </w:rPr>
              <w:t xml:space="preserve">в </w:t>
            </w:r>
            <w:proofErr w:type="spellStart"/>
            <w:r w:rsidRPr="008D22BE">
              <w:rPr>
                <w:rFonts w:ascii="Times New Roman" w:hAnsi="Times New Roman" w:cs="Times New Roman"/>
                <w:i/>
                <w:color w:val="000000"/>
              </w:rPr>
              <w:t>том</w:t>
            </w:r>
            <w:proofErr w:type="spellEnd"/>
            <w:r w:rsidRPr="008D22BE">
              <w:rPr>
                <w:rFonts w:ascii="Times New Roman" w:hAnsi="Times New Roman" w:cs="Times New Roman"/>
                <w:i/>
                <w:color w:val="000000"/>
              </w:rPr>
              <w:t xml:space="preserve"> </w:t>
            </w:r>
            <w:proofErr w:type="spellStart"/>
            <w:r w:rsidRPr="008D22BE">
              <w:rPr>
                <w:rFonts w:ascii="Times New Roman" w:hAnsi="Times New Roman" w:cs="Times New Roman"/>
                <w:i/>
                <w:color w:val="000000"/>
              </w:rPr>
              <w:t>числе</w:t>
            </w:r>
            <w:proofErr w:type="spellEnd"/>
            <w:r w:rsidRPr="008D22BE">
              <w:rPr>
                <w:rFonts w:ascii="Times New Roman" w:hAnsi="Times New Roman" w:cs="Times New Roman"/>
                <w:i/>
                <w:color w:val="000000"/>
              </w:rPr>
              <w:t>:</w:t>
            </w:r>
          </w:p>
        </w:tc>
        <w:tc>
          <w:tcPr>
            <w:tcW w:w="2161" w:type="dxa"/>
            <w:vAlign w:val="center"/>
          </w:tcPr>
          <w:p w14:paraId="4666AD04" w14:textId="77777777" w:rsidR="008D22BE" w:rsidRPr="008D22BE" w:rsidRDefault="008D22BE" w:rsidP="0053532A">
            <w:pPr>
              <w:spacing w:line="276" w:lineRule="auto"/>
              <w:jc w:val="center"/>
              <w:rPr>
                <w:rFonts w:ascii="Times New Roman" w:hAnsi="Times New Roman" w:cs="Times New Roman"/>
                <w:b/>
                <w:color w:val="000000"/>
              </w:rPr>
            </w:pPr>
          </w:p>
        </w:tc>
        <w:tc>
          <w:tcPr>
            <w:tcW w:w="1950" w:type="dxa"/>
            <w:vAlign w:val="center"/>
          </w:tcPr>
          <w:p w14:paraId="6C0857D4" w14:textId="77777777" w:rsidR="008D22BE" w:rsidRPr="008D22BE" w:rsidRDefault="008D22BE" w:rsidP="0053532A">
            <w:pPr>
              <w:spacing w:line="276" w:lineRule="auto"/>
              <w:jc w:val="center"/>
              <w:rPr>
                <w:rFonts w:ascii="Times New Roman" w:hAnsi="Times New Roman" w:cs="Times New Roman"/>
                <w:b/>
                <w:color w:val="000000"/>
              </w:rPr>
            </w:pPr>
          </w:p>
        </w:tc>
        <w:tc>
          <w:tcPr>
            <w:tcW w:w="2126" w:type="dxa"/>
            <w:vAlign w:val="center"/>
          </w:tcPr>
          <w:p w14:paraId="171E5701" w14:textId="77777777" w:rsidR="008D22BE" w:rsidRPr="008D22BE" w:rsidRDefault="008D22BE" w:rsidP="0053532A">
            <w:pPr>
              <w:spacing w:line="276" w:lineRule="auto"/>
              <w:jc w:val="center"/>
              <w:rPr>
                <w:rFonts w:ascii="Times New Roman" w:hAnsi="Times New Roman" w:cs="Times New Roman"/>
                <w:b/>
                <w:color w:val="000000"/>
              </w:rPr>
            </w:pPr>
          </w:p>
        </w:tc>
      </w:tr>
      <w:tr w:rsidR="008D22BE" w:rsidRPr="008D22BE" w14:paraId="5488974C" w14:textId="77777777" w:rsidTr="008D22BE">
        <w:tc>
          <w:tcPr>
            <w:tcW w:w="3119" w:type="dxa"/>
            <w:vAlign w:val="center"/>
          </w:tcPr>
          <w:p w14:paraId="4FAA904A"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подпрограмма «Обеспечение мер социальной поддержки отдельных категорий граждан»</w:t>
            </w:r>
          </w:p>
        </w:tc>
        <w:tc>
          <w:tcPr>
            <w:tcW w:w="2161" w:type="dxa"/>
            <w:vAlign w:val="center"/>
          </w:tcPr>
          <w:p w14:paraId="5D6E53C1"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731 720,3</w:t>
            </w:r>
          </w:p>
        </w:tc>
        <w:tc>
          <w:tcPr>
            <w:tcW w:w="1950" w:type="dxa"/>
            <w:vAlign w:val="center"/>
          </w:tcPr>
          <w:p w14:paraId="6C900108"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764 071,9</w:t>
            </w:r>
          </w:p>
        </w:tc>
        <w:tc>
          <w:tcPr>
            <w:tcW w:w="2126" w:type="dxa"/>
            <w:vAlign w:val="center"/>
          </w:tcPr>
          <w:p w14:paraId="6B847BA7"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104,4</w:t>
            </w:r>
          </w:p>
        </w:tc>
      </w:tr>
      <w:tr w:rsidR="008D22BE" w:rsidRPr="008D22BE" w14:paraId="3F6768CD" w14:textId="77777777" w:rsidTr="008D22BE">
        <w:tc>
          <w:tcPr>
            <w:tcW w:w="3119" w:type="dxa"/>
            <w:vAlign w:val="center"/>
          </w:tcPr>
          <w:p w14:paraId="17213287" w14:textId="77777777" w:rsidR="008D22BE" w:rsidRPr="008D22BE" w:rsidRDefault="008D22BE" w:rsidP="0053532A">
            <w:pPr>
              <w:spacing w:line="276" w:lineRule="auto"/>
              <w:ind w:right="-108" w:firstLine="601"/>
              <w:rPr>
                <w:rFonts w:ascii="Times New Roman" w:hAnsi="Times New Roman" w:cs="Times New Roman"/>
                <w:color w:val="000000"/>
                <w:lang w:val="ru-RU"/>
              </w:rPr>
            </w:pPr>
            <w:r w:rsidRPr="008D22BE">
              <w:rPr>
                <w:rFonts w:ascii="Times New Roman" w:hAnsi="Times New Roman" w:cs="Times New Roman"/>
                <w:i/>
                <w:color w:val="000000"/>
                <w:lang w:val="ru-RU"/>
              </w:rPr>
              <w:t>из них:</w:t>
            </w:r>
            <w:r w:rsidRPr="008D22BE">
              <w:rPr>
                <w:rFonts w:ascii="Times New Roman" w:hAnsi="Times New Roman" w:cs="Times New Roman"/>
                <w:color w:val="000000"/>
                <w:lang w:val="ru-RU"/>
              </w:rPr>
              <w:t xml:space="preserve"> </w:t>
            </w:r>
          </w:p>
          <w:p w14:paraId="6F9C1871" w14:textId="77777777" w:rsidR="008D22BE" w:rsidRPr="008D22BE" w:rsidRDefault="008D22BE" w:rsidP="0053532A">
            <w:pPr>
              <w:spacing w:line="276" w:lineRule="auto"/>
              <w:ind w:right="-108" w:firstLine="601"/>
              <w:rPr>
                <w:rFonts w:ascii="Times New Roman" w:hAnsi="Times New Roman" w:cs="Times New Roman"/>
                <w:color w:val="000000"/>
                <w:lang w:val="ru-RU"/>
              </w:rPr>
            </w:pPr>
            <w:r w:rsidRPr="008D22BE">
              <w:rPr>
                <w:rFonts w:ascii="Times New Roman" w:hAnsi="Times New Roman" w:cs="Times New Roman"/>
                <w:color w:val="000000"/>
                <w:lang w:val="ru-RU"/>
              </w:rPr>
              <w:t>выплата федеральной социальной доплаты к пенсии</w:t>
            </w:r>
          </w:p>
        </w:tc>
        <w:tc>
          <w:tcPr>
            <w:tcW w:w="2161" w:type="dxa"/>
            <w:vAlign w:val="center"/>
          </w:tcPr>
          <w:p w14:paraId="5262981E"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43 893,7</w:t>
            </w:r>
          </w:p>
        </w:tc>
        <w:tc>
          <w:tcPr>
            <w:tcW w:w="1950" w:type="dxa"/>
            <w:vAlign w:val="center"/>
          </w:tcPr>
          <w:p w14:paraId="2B72947C"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44 334,0</w:t>
            </w:r>
          </w:p>
        </w:tc>
        <w:tc>
          <w:tcPr>
            <w:tcW w:w="2126" w:type="dxa"/>
            <w:vAlign w:val="center"/>
          </w:tcPr>
          <w:p w14:paraId="65B72DDD"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101,0</w:t>
            </w:r>
          </w:p>
        </w:tc>
      </w:tr>
      <w:tr w:rsidR="008D22BE" w:rsidRPr="008D22BE" w14:paraId="7FD68FF4" w14:textId="77777777" w:rsidTr="008D22BE">
        <w:tc>
          <w:tcPr>
            <w:tcW w:w="3119" w:type="dxa"/>
            <w:vAlign w:val="center"/>
          </w:tcPr>
          <w:p w14:paraId="7D2C616D"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подпрограмма «Модернизация и развитие социального обслуживания населения»</w:t>
            </w:r>
          </w:p>
        </w:tc>
        <w:tc>
          <w:tcPr>
            <w:tcW w:w="2161" w:type="dxa"/>
            <w:vAlign w:val="center"/>
          </w:tcPr>
          <w:p w14:paraId="2AA29473"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463,7</w:t>
            </w:r>
          </w:p>
        </w:tc>
        <w:tc>
          <w:tcPr>
            <w:tcW w:w="1950" w:type="dxa"/>
            <w:vAlign w:val="center"/>
          </w:tcPr>
          <w:p w14:paraId="3A25D160"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423,9</w:t>
            </w:r>
          </w:p>
        </w:tc>
        <w:tc>
          <w:tcPr>
            <w:tcW w:w="2126" w:type="dxa"/>
            <w:vAlign w:val="center"/>
          </w:tcPr>
          <w:p w14:paraId="57DE224C"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91,4</w:t>
            </w:r>
          </w:p>
        </w:tc>
      </w:tr>
      <w:tr w:rsidR="008D22BE" w:rsidRPr="008D22BE" w14:paraId="300F1C3B" w14:textId="77777777" w:rsidTr="008D22BE">
        <w:tc>
          <w:tcPr>
            <w:tcW w:w="3119" w:type="dxa"/>
            <w:vAlign w:val="center"/>
          </w:tcPr>
          <w:p w14:paraId="655D7561"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подпрограмма «Обеспечение государственной поддержки семей, имеющих детей»</w:t>
            </w:r>
          </w:p>
        </w:tc>
        <w:tc>
          <w:tcPr>
            <w:tcW w:w="2161" w:type="dxa"/>
            <w:vAlign w:val="center"/>
          </w:tcPr>
          <w:p w14:paraId="4D6D0040"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426 958,5</w:t>
            </w:r>
          </w:p>
        </w:tc>
        <w:tc>
          <w:tcPr>
            <w:tcW w:w="1950" w:type="dxa"/>
            <w:vAlign w:val="center"/>
          </w:tcPr>
          <w:p w14:paraId="69AF744F"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431 433,6</w:t>
            </w:r>
          </w:p>
        </w:tc>
        <w:tc>
          <w:tcPr>
            <w:tcW w:w="2126" w:type="dxa"/>
            <w:vAlign w:val="center"/>
          </w:tcPr>
          <w:p w14:paraId="0B0DEB78"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101,0</w:t>
            </w:r>
          </w:p>
        </w:tc>
      </w:tr>
      <w:tr w:rsidR="008D22BE" w:rsidRPr="008D22BE" w14:paraId="0CAC4F17" w14:textId="77777777" w:rsidTr="008D22BE">
        <w:tc>
          <w:tcPr>
            <w:tcW w:w="3119" w:type="dxa"/>
            <w:vAlign w:val="bottom"/>
          </w:tcPr>
          <w:p w14:paraId="4EBAE1C5" w14:textId="77777777" w:rsidR="008D22BE" w:rsidRPr="008D22BE" w:rsidRDefault="008D22BE" w:rsidP="0053532A">
            <w:pPr>
              <w:spacing w:line="276" w:lineRule="auto"/>
              <w:ind w:right="-108" w:firstLine="601"/>
              <w:rPr>
                <w:rFonts w:ascii="Times New Roman" w:hAnsi="Times New Roman" w:cs="Times New Roman"/>
                <w:i/>
                <w:color w:val="000000"/>
                <w:lang w:val="ru-RU"/>
              </w:rPr>
            </w:pPr>
            <w:r w:rsidRPr="008D22BE">
              <w:rPr>
                <w:rFonts w:ascii="Times New Roman" w:hAnsi="Times New Roman" w:cs="Times New Roman"/>
                <w:i/>
                <w:color w:val="000000"/>
                <w:lang w:val="ru-RU"/>
              </w:rPr>
              <w:t>из них:</w:t>
            </w:r>
          </w:p>
          <w:p w14:paraId="72741057" w14:textId="77777777" w:rsidR="008D22BE" w:rsidRPr="008D22BE" w:rsidRDefault="008D22BE" w:rsidP="0053532A">
            <w:pPr>
              <w:spacing w:line="276" w:lineRule="auto"/>
              <w:ind w:right="-108" w:firstLine="601"/>
              <w:rPr>
                <w:rFonts w:ascii="Times New Roman" w:hAnsi="Times New Roman" w:cs="Times New Roman"/>
                <w:color w:val="000000"/>
                <w:lang w:val="ru-RU"/>
              </w:rPr>
            </w:pPr>
            <w:r w:rsidRPr="008D22BE">
              <w:rPr>
                <w:rFonts w:ascii="Times New Roman" w:hAnsi="Times New Roman" w:cs="Times New Roman"/>
                <w:color w:val="000000"/>
                <w:lang w:val="ru-RU"/>
              </w:rPr>
              <w:t>предоставление материнского (семейного) капитала</w:t>
            </w:r>
          </w:p>
        </w:tc>
        <w:tc>
          <w:tcPr>
            <w:tcW w:w="2161" w:type="dxa"/>
            <w:vAlign w:val="center"/>
          </w:tcPr>
          <w:p w14:paraId="69A3C846"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312 236,9</w:t>
            </w:r>
          </w:p>
        </w:tc>
        <w:tc>
          <w:tcPr>
            <w:tcW w:w="1950" w:type="dxa"/>
            <w:vAlign w:val="center"/>
          </w:tcPr>
          <w:p w14:paraId="4B470A35"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304 258,5</w:t>
            </w:r>
          </w:p>
        </w:tc>
        <w:tc>
          <w:tcPr>
            <w:tcW w:w="2126" w:type="dxa"/>
            <w:vAlign w:val="center"/>
          </w:tcPr>
          <w:p w14:paraId="7F5F78DA"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97,4</w:t>
            </w:r>
          </w:p>
        </w:tc>
      </w:tr>
      <w:tr w:rsidR="008D22BE" w:rsidRPr="008D22BE" w14:paraId="749DBF27" w14:textId="77777777" w:rsidTr="008D22BE">
        <w:tc>
          <w:tcPr>
            <w:tcW w:w="3119" w:type="dxa"/>
            <w:vAlign w:val="center"/>
          </w:tcPr>
          <w:p w14:paraId="4962DDA0"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подпрограмма «Повышение эффективности государственной поддержки социально ориентированных некоммерческих организаций»</w:t>
            </w:r>
          </w:p>
        </w:tc>
        <w:tc>
          <w:tcPr>
            <w:tcW w:w="2161" w:type="dxa"/>
            <w:vAlign w:val="center"/>
          </w:tcPr>
          <w:p w14:paraId="70DD2CC5"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1 651,1</w:t>
            </w:r>
          </w:p>
        </w:tc>
        <w:tc>
          <w:tcPr>
            <w:tcW w:w="1950" w:type="dxa"/>
            <w:vAlign w:val="center"/>
          </w:tcPr>
          <w:p w14:paraId="700B861D"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160,3</w:t>
            </w:r>
          </w:p>
        </w:tc>
        <w:tc>
          <w:tcPr>
            <w:tcW w:w="2126" w:type="dxa"/>
            <w:vAlign w:val="center"/>
          </w:tcPr>
          <w:p w14:paraId="0524ECD1"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9,7</w:t>
            </w:r>
          </w:p>
        </w:tc>
      </w:tr>
      <w:tr w:rsidR="008D22BE" w:rsidRPr="008D22BE" w14:paraId="4C75CE2B" w14:textId="77777777" w:rsidTr="008D22BE">
        <w:tc>
          <w:tcPr>
            <w:tcW w:w="3119" w:type="dxa"/>
            <w:vAlign w:val="center"/>
          </w:tcPr>
          <w:p w14:paraId="62BB21F8" w14:textId="77777777" w:rsidR="008D22BE" w:rsidRPr="008D22BE" w:rsidRDefault="008D22BE" w:rsidP="0053532A">
            <w:pPr>
              <w:spacing w:line="276" w:lineRule="auto"/>
              <w:ind w:right="-108" w:firstLine="318"/>
              <w:rPr>
                <w:rFonts w:ascii="Times New Roman" w:hAnsi="Times New Roman" w:cs="Times New Roman"/>
                <w:color w:val="000000"/>
              </w:rPr>
            </w:pPr>
            <w:proofErr w:type="spellStart"/>
            <w:r w:rsidRPr="008D22BE">
              <w:rPr>
                <w:rFonts w:ascii="Times New Roman" w:hAnsi="Times New Roman" w:cs="Times New Roman"/>
                <w:color w:val="000000"/>
              </w:rPr>
              <w:t>подпрограмма</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Старшее</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поколение</w:t>
            </w:r>
            <w:proofErr w:type="spellEnd"/>
            <w:r w:rsidRPr="008D22BE">
              <w:rPr>
                <w:rFonts w:ascii="Times New Roman" w:hAnsi="Times New Roman" w:cs="Times New Roman"/>
                <w:color w:val="000000"/>
              </w:rPr>
              <w:t>»</w:t>
            </w:r>
          </w:p>
        </w:tc>
        <w:tc>
          <w:tcPr>
            <w:tcW w:w="2161" w:type="dxa"/>
            <w:vAlign w:val="center"/>
          </w:tcPr>
          <w:p w14:paraId="40130906"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5 956,8</w:t>
            </w:r>
          </w:p>
        </w:tc>
        <w:tc>
          <w:tcPr>
            <w:tcW w:w="1950" w:type="dxa"/>
            <w:vAlign w:val="center"/>
          </w:tcPr>
          <w:p w14:paraId="354E1488"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5 150,2</w:t>
            </w:r>
          </w:p>
        </w:tc>
        <w:tc>
          <w:tcPr>
            <w:tcW w:w="2126" w:type="dxa"/>
            <w:vAlign w:val="center"/>
          </w:tcPr>
          <w:p w14:paraId="0F7667B9"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86,5</w:t>
            </w:r>
          </w:p>
        </w:tc>
      </w:tr>
      <w:tr w:rsidR="008D22BE" w:rsidRPr="008D22BE" w14:paraId="4E100349" w14:textId="77777777" w:rsidTr="008D22BE">
        <w:tc>
          <w:tcPr>
            <w:tcW w:w="3119" w:type="dxa"/>
            <w:vAlign w:val="center"/>
          </w:tcPr>
          <w:p w14:paraId="5E7316AB"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подпрограмма «Обеспечение условий реализации государственной программы Российской Федерации</w:t>
            </w:r>
            <w:r w:rsidR="00623056">
              <w:rPr>
                <w:rFonts w:ascii="Times New Roman" w:hAnsi="Times New Roman" w:cs="Times New Roman"/>
                <w:color w:val="000000"/>
                <w:lang w:val="ru-RU"/>
              </w:rPr>
              <w:t xml:space="preserve"> </w:t>
            </w:r>
            <w:r w:rsidRPr="008D22BE">
              <w:rPr>
                <w:rFonts w:ascii="Times New Roman" w:hAnsi="Times New Roman" w:cs="Times New Roman"/>
                <w:color w:val="000000"/>
                <w:lang w:val="ru-RU"/>
              </w:rPr>
              <w:t>«Социальная поддержка граждан»</w:t>
            </w:r>
          </w:p>
        </w:tc>
        <w:tc>
          <w:tcPr>
            <w:tcW w:w="2161" w:type="dxa"/>
            <w:vAlign w:val="center"/>
          </w:tcPr>
          <w:p w14:paraId="0039902B"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104,4</w:t>
            </w:r>
          </w:p>
        </w:tc>
        <w:tc>
          <w:tcPr>
            <w:tcW w:w="1950" w:type="dxa"/>
            <w:vAlign w:val="center"/>
          </w:tcPr>
          <w:p w14:paraId="3B5C6044"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103,4</w:t>
            </w:r>
          </w:p>
        </w:tc>
        <w:tc>
          <w:tcPr>
            <w:tcW w:w="2126" w:type="dxa"/>
            <w:vAlign w:val="center"/>
          </w:tcPr>
          <w:p w14:paraId="61E5F5B5"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99,1</w:t>
            </w:r>
          </w:p>
        </w:tc>
      </w:tr>
      <w:tr w:rsidR="008D22BE" w:rsidRPr="008D22BE" w14:paraId="17D4E4E0" w14:textId="77777777" w:rsidTr="008D22BE">
        <w:tc>
          <w:tcPr>
            <w:tcW w:w="3119" w:type="dxa"/>
            <w:vAlign w:val="bottom"/>
          </w:tcPr>
          <w:p w14:paraId="575ADBE3" w14:textId="77777777" w:rsidR="008D22BE" w:rsidRPr="008D22BE" w:rsidRDefault="008D22BE" w:rsidP="0053532A">
            <w:pPr>
              <w:spacing w:line="276" w:lineRule="auto"/>
              <w:ind w:right="-108"/>
              <w:rPr>
                <w:rFonts w:ascii="Times New Roman" w:hAnsi="Times New Roman" w:cs="Times New Roman"/>
                <w:b/>
                <w:color w:val="000000"/>
              </w:rPr>
            </w:pPr>
            <w:r w:rsidRPr="008D22BE">
              <w:rPr>
                <w:rFonts w:ascii="Times New Roman" w:hAnsi="Times New Roman" w:cs="Times New Roman"/>
                <w:b/>
                <w:color w:val="000000"/>
              </w:rPr>
              <w:t>ГП «</w:t>
            </w:r>
            <w:proofErr w:type="spellStart"/>
            <w:r w:rsidRPr="008D22BE">
              <w:rPr>
                <w:rFonts w:ascii="Times New Roman" w:hAnsi="Times New Roman" w:cs="Times New Roman"/>
                <w:b/>
                <w:color w:val="000000"/>
              </w:rPr>
              <w:t>Содействие</w:t>
            </w:r>
            <w:proofErr w:type="spellEnd"/>
            <w:r w:rsidRPr="008D22BE">
              <w:rPr>
                <w:rFonts w:ascii="Times New Roman" w:hAnsi="Times New Roman" w:cs="Times New Roman"/>
                <w:b/>
                <w:color w:val="000000"/>
              </w:rPr>
              <w:t xml:space="preserve"> </w:t>
            </w:r>
            <w:proofErr w:type="spellStart"/>
            <w:r w:rsidRPr="008D22BE">
              <w:rPr>
                <w:rFonts w:ascii="Times New Roman" w:hAnsi="Times New Roman" w:cs="Times New Roman"/>
                <w:b/>
                <w:color w:val="000000"/>
              </w:rPr>
              <w:t>занятости</w:t>
            </w:r>
            <w:proofErr w:type="spellEnd"/>
            <w:r w:rsidRPr="008D22BE">
              <w:rPr>
                <w:rFonts w:ascii="Times New Roman" w:hAnsi="Times New Roman" w:cs="Times New Roman"/>
                <w:b/>
                <w:color w:val="000000"/>
              </w:rPr>
              <w:t xml:space="preserve"> </w:t>
            </w:r>
            <w:proofErr w:type="spellStart"/>
            <w:r w:rsidRPr="008D22BE">
              <w:rPr>
                <w:rFonts w:ascii="Times New Roman" w:hAnsi="Times New Roman" w:cs="Times New Roman"/>
                <w:b/>
                <w:color w:val="000000"/>
              </w:rPr>
              <w:t>населения</w:t>
            </w:r>
            <w:proofErr w:type="spellEnd"/>
            <w:r w:rsidRPr="008D22BE">
              <w:rPr>
                <w:rFonts w:ascii="Times New Roman" w:hAnsi="Times New Roman" w:cs="Times New Roman"/>
                <w:b/>
                <w:color w:val="000000"/>
              </w:rPr>
              <w:t>»</w:t>
            </w:r>
          </w:p>
        </w:tc>
        <w:tc>
          <w:tcPr>
            <w:tcW w:w="2161" w:type="dxa"/>
            <w:vAlign w:val="center"/>
          </w:tcPr>
          <w:p w14:paraId="53B28189" w14:textId="77777777" w:rsidR="008D22BE" w:rsidRPr="008D22BE" w:rsidRDefault="008D22BE" w:rsidP="0053532A">
            <w:pPr>
              <w:spacing w:line="276" w:lineRule="auto"/>
              <w:jc w:val="center"/>
              <w:rPr>
                <w:rFonts w:ascii="Times New Roman" w:hAnsi="Times New Roman" w:cs="Times New Roman"/>
                <w:b/>
                <w:bCs/>
                <w:color w:val="000000"/>
              </w:rPr>
            </w:pPr>
            <w:r w:rsidRPr="008D22BE">
              <w:rPr>
                <w:rFonts w:ascii="Times New Roman" w:hAnsi="Times New Roman" w:cs="Times New Roman"/>
                <w:b/>
                <w:bCs/>
                <w:color w:val="000000"/>
              </w:rPr>
              <w:t>84 508,6</w:t>
            </w:r>
          </w:p>
        </w:tc>
        <w:tc>
          <w:tcPr>
            <w:tcW w:w="1950" w:type="dxa"/>
            <w:vAlign w:val="center"/>
          </w:tcPr>
          <w:p w14:paraId="02203818" w14:textId="77777777" w:rsidR="008D22BE" w:rsidRPr="008D22BE" w:rsidRDefault="008D22BE" w:rsidP="0053532A">
            <w:pPr>
              <w:spacing w:line="276" w:lineRule="auto"/>
              <w:jc w:val="center"/>
              <w:rPr>
                <w:rFonts w:ascii="Times New Roman" w:hAnsi="Times New Roman" w:cs="Times New Roman"/>
                <w:b/>
                <w:bCs/>
                <w:color w:val="000000"/>
              </w:rPr>
            </w:pPr>
            <w:r w:rsidRPr="008D22BE">
              <w:rPr>
                <w:rFonts w:ascii="Times New Roman" w:hAnsi="Times New Roman" w:cs="Times New Roman"/>
                <w:b/>
                <w:bCs/>
                <w:color w:val="000000"/>
              </w:rPr>
              <w:t>80 254,8</w:t>
            </w:r>
          </w:p>
        </w:tc>
        <w:tc>
          <w:tcPr>
            <w:tcW w:w="2126" w:type="dxa"/>
            <w:vAlign w:val="center"/>
          </w:tcPr>
          <w:p w14:paraId="2914A399" w14:textId="77777777" w:rsidR="008D22BE" w:rsidRPr="008D22BE" w:rsidRDefault="008D22BE" w:rsidP="0053532A">
            <w:pPr>
              <w:spacing w:line="276" w:lineRule="auto"/>
              <w:jc w:val="center"/>
              <w:rPr>
                <w:rFonts w:ascii="Times New Roman" w:hAnsi="Times New Roman" w:cs="Times New Roman"/>
                <w:b/>
                <w:bCs/>
                <w:color w:val="000000"/>
              </w:rPr>
            </w:pPr>
            <w:r w:rsidRPr="008D22BE">
              <w:rPr>
                <w:rFonts w:ascii="Times New Roman" w:hAnsi="Times New Roman" w:cs="Times New Roman"/>
                <w:b/>
                <w:bCs/>
                <w:color w:val="000000"/>
              </w:rPr>
              <w:t>95,0</w:t>
            </w:r>
          </w:p>
        </w:tc>
      </w:tr>
      <w:tr w:rsidR="008D22BE" w:rsidRPr="008D22BE" w14:paraId="3475F62D" w14:textId="77777777" w:rsidTr="008D22BE">
        <w:tc>
          <w:tcPr>
            <w:tcW w:w="3119" w:type="dxa"/>
            <w:vAlign w:val="bottom"/>
          </w:tcPr>
          <w:p w14:paraId="5D5D2A02" w14:textId="77777777" w:rsidR="008D22BE" w:rsidRPr="008D22BE" w:rsidRDefault="008D22BE" w:rsidP="0053532A">
            <w:pPr>
              <w:spacing w:line="276" w:lineRule="auto"/>
              <w:ind w:right="-108" w:firstLine="318"/>
              <w:rPr>
                <w:rFonts w:ascii="Times New Roman" w:hAnsi="Times New Roman" w:cs="Times New Roman"/>
                <w:i/>
                <w:color w:val="000000"/>
              </w:rPr>
            </w:pPr>
            <w:r w:rsidRPr="008D22BE">
              <w:rPr>
                <w:rFonts w:ascii="Times New Roman" w:hAnsi="Times New Roman" w:cs="Times New Roman"/>
                <w:i/>
                <w:color w:val="000000"/>
              </w:rPr>
              <w:t xml:space="preserve">в </w:t>
            </w:r>
            <w:proofErr w:type="spellStart"/>
            <w:r w:rsidRPr="008D22BE">
              <w:rPr>
                <w:rFonts w:ascii="Times New Roman" w:hAnsi="Times New Roman" w:cs="Times New Roman"/>
                <w:i/>
                <w:color w:val="000000"/>
              </w:rPr>
              <w:t>том</w:t>
            </w:r>
            <w:proofErr w:type="spellEnd"/>
            <w:r w:rsidRPr="008D22BE">
              <w:rPr>
                <w:rFonts w:ascii="Times New Roman" w:hAnsi="Times New Roman" w:cs="Times New Roman"/>
                <w:i/>
                <w:color w:val="000000"/>
              </w:rPr>
              <w:t xml:space="preserve"> </w:t>
            </w:r>
            <w:proofErr w:type="spellStart"/>
            <w:r w:rsidRPr="008D22BE">
              <w:rPr>
                <w:rFonts w:ascii="Times New Roman" w:hAnsi="Times New Roman" w:cs="Times New Roman"/>
                <w:i/>
                <w:color w:val="000000"/>
              </w:rPr>
              <w:t>числе</w:t>
            </w:r>
            <w:proofErr w:type="spellEnd"/>
            <w:r w:rsidRPr="008D22BE">
              <w:rPr>
                <w:rFonts w:ascii="Times New Roman" w:hAnsi="Times New Roman" w:cs="Times New Roman"/>
                <w:i/>
                <w:color w:val="000000"/>
              </w:rPr>
              <w:t>:</w:t>
            </w:r>
          </w:p>
        </w:tc>
        <w:tc>
          <w:tcPr>
            <w:tcW w:w="2161" w:type="dxa"/>
            <w:vAlign w:val="center"/>
          </w:tcPr>
          <w:p w14:paraId="5A217740" w14:textId="77777777" w:rsidR="008D22BE" w:rsidRPr="008D22BE" w:rsidRDefault="008D22BE" w:rsidP="0053532A">
            <w:pPr>
              <w:spacing w:line="276" w:lineRule="auto"/>
              <w:jc w:val="center"/>
              <w:rPr>
                <w:rFonts w:ascii="Times New Roman" w:hAnsi="Times New Roman" w:cs="Times New Roman"/>
                <w:b/>
                <w:bCs/>
                <w:color w:val="000000"/>
              </w:rPr>
            </w:pPr>
          </w:p>
        </w:tc>
        <w:tc>
          <w:tcPr>
            <w:tcW w:w="1950" w:type="dxa"/>
            <w:vAlign w:val="center"/>
          </w:tcPr>
          <w:p w14:paraId="50E8BB00" w14:textId="77777777" w:rsidR="008D22BE" w:rsidRPr="008D22BE" w:rsidRDefault="008D22BE" w:rsidP="0053532A">
            <w:pPr>
              <w:spacing w:line="276" w:lineRule="auto"/>
              <w:jc w:val="center"/>
              <w:rPr>
                <w:rFonts w:ascii="Times New Roman" w:hAnsi="Times New Roman" w:cs="Times New Roman"/>
                <w:b/>
                <w:bCs/>
                <w:color w:val="000000"/>
              </w:rPr>
            </w:pPr>
          </w:p>
        </w:tc>
        <w:tc>
          <w:tcPr>
            <w:tcW w:w="2126" w:type="dxa"/>
            <w:vAlign w:val="center"/>
          </w:tcPr>
          <w:p w14:paraId="0B5AC64C" w14:textId="77777777" w:rsidR="008D22BE" w:rsidRPr="008D22BE" w:rsidRDefault="008D22BE" w:rsidP="0053532A">
            <w:pPr>
              <w:spacing w:line="276" w:lineRule="auto"/>
              <w:jc w:val="center"/>
              <w:rPr>
                <w:rFonts w:ascii="Times New Roman" w:hAnsi="Times New Roman" w:cs="Times New Roman"/>
                <w:b/>
                <w:bCs/>
                <w:color w:val="000000"/>
              </w:rPr>
            </w:pPr>
          </w:p>
        </w:tc>
      </w:tr>
      <w:tr w:rsidR="008D22BE" w:rsidRPr="008D22BE" w14:paraId="5DD0CFFD" w14:textId="77777777" w:rsidTr="008D22BE">
        <w:tc>
          <w:tcPr>
            <w:tcW w:w="3119" w:type="dxa"/>
            <w:vAlign w:val="center"/>
          </w:tcPr>
          <w:p w14:paraId="2C71E867"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подпрограмма «Активная политика занятости населения и социальная поддержка безработных граждан»</w:t>
            </w:r>
          </w:p>
        </w:tc>
        <w:tc>
          <w:tcPr>
            <w:tcW w:w="2161" w:type="dxa"/>
            <w:vAlign w:val="center"/>
          </w:tcPr>
          <w:p w14:paraId="28ED78E8"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43 088,3</w:t>
            </w:r>
          </w:p>
        </w:tc>
        <w:tc>
          <w:tcPr>
            <w:tcW w:w="1950" w:type="dxa"/>
            <w:vAlign w:val="center"/>
          </w:tcPr>
          <w:p w14:paraId="39442CAE"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48 359,2</w:t>
            </w:r>
          </w:p>
        </w:tc>
        <w:tc>
          <w:tcPr>
            <w:tcW w:w="2126" w:type="dxa"/>
            <w:vAlign w:val="center"/>
          </w:tcPr>
          <w:p w14:paraId="0772E53B"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112,2</w:t>
            </w:r>
          </w:p>
        </w:tc>
      </w:tr>
      <w:tr w:rsidR="008D22BE" w:rsidRPr="008D22BE" w14:paraId="13ABBB58" w14:textId="77777777" w:rsidTr="008D22BE">
        <w:tc>
          <w:tcPr>
            <w:tcW w:w="3119" w:type="dxa"/>
            <w:vAlign w:val="bottom"/>
          </w:tcPr>
          <w:p w14:paraId="2EC808A9" w14:textId="77777777" w:rsidR="008D22BE" w:rsidRPr="008D22BE" w:rsidRDefault="008D22BE" w:rsidP="0053532A">
            <w:pPr>
              <w:spacing w:line="276" w:lineRule="auto"/>
              <w:ind w:right="-108" w:firstLine="601"/>
              <w:rPr>
                <w:rFonts w:ascii="Times New Roman" w:hAnsi="Times New Roman" w:cs="Times New Roman"/>
                <w:i/>
                <w:color w:val="000000"/>
                <w:lang w:val="ru-RU"/>
              </w:rPr>
            </w:pPr>
            <w:r w:rsidRPr="008D22BE">
              <w:rPr>
                <w:rFonts w:ascii="Times New Roman" w:hAnsi="Times New Roman" w:cs="Times New Roman"/>
                <w:i/>
                <w:color w:val="000000"/>
                <w:lang w:val="ru-RU"/>
              </w:rPr>
              <w:t>из них:</w:t>
            </w:r>
          </w:p>
          <w:p w14:paraId="4B00F683" w14:textId="77777777" w:rsidR="008D22BE" w:rsidRPr="008D22BE" w:rsidRDefault="008D22BE" w:rsidP="0053532A">
            <w:pPr>
              <w:spacing w:line="276" w:lineRule="auto"/>
              <w:ind w:right="-108" w:firstLine="601"/>
              <w:rPr>
                <w:rFonts w:ascii="Times New Roman" w:hAnsi="Times New Roman" w:cs="Times New Roman"/>
                <w:color w:val="000000"/>
                <w:lang w:val="ru-RU"/>
              </w:rPr>
            </w:pPr>
            <w:r w:rsidRPr="008D22BE">
              <w:rPr>
                <w:rFonts w:ascii="Times New Roman" w:hAnsi="Times New Roman" w:cs="Times New Roman"/>
                <w:color w:val="000000"/>
                <w:lang w:val="ru-RU"/>
              </w:rPr>
              <w:t>субвенции бюджетам субъектов РФ на социальные выплаты безработным гражданам</w:t>
            </w:r>
          </w:p>
        </w:tc>
        <w:tc>
          <w:tcPr>
            <w:tcW w:w="2161" w:type="dxa"/>
            <w:vAlign w:val="center"/>
          </w:tcPr>
          <w:p w14:paraId="7EFDE57D"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38 371,7</w:t>
            </w:r>
          </w:p>
        </w:tc>
        <w:tc>
          <w:tcPr>
            <w:tcW w:w="1950" w:type="dxa"/>
            <w:vAlign w:val="center"/>
          </w:tcPr>
          <w:p w14:paraId="6D59EDCF" w14:textId="77777777" w:rsidR="008D22BE" w:rsidRPr="008D22BE" w:rsidRDefault="008D22BE" w:rsidP="0053532A">
            <w:pPr>
              <w:spacing w:line="276" w:lineRule="auto"/>
              <w:jc w:val="center"/>
              <w:rPr>
                <w:rFonts w:ascii="Times New Roman" w:hAnsi="Times New Roman" w:cs="Times New Roman"/>
                <w:b/>
                <w:bCs/>
                <w:color w:val="000000"/>
              </w:rPr>
            </w:pPr>
            <w:r w:rsidRPr="008D22BE">
              <w:rPr>
                <w:rFonts w:ascii="Times New Roman" w:hAnsi="Times New Roman" w:cs="Times New Roman"/>
                <w:color w:val="000000"/>
              </w:rPr>
              <w:t>41 371,4</w:t>
            </w:r>
          </w:p>
        </w:tc>
        <w:tc>
          <w:tcPr>
            <w:tcW w:w="2126" w:type="dxa"/>
            <w:vAlign w:val="center"/>
          </w:tcPr>
          <w:p w14:paraId="2E0512B7" w14:textId="77777777" w:rsidR="008D22BE" w:rsidRPr="008D22BE" w:rsidRDefault="008D22BE" w:rsidP="0053532A">
            <w:pPr>
              <w:spacing w:line="276" w:lineRule="auto"/>
              <w:jc w:val="center"/>
              <w:rPr>
                <w:rFonts w:ascii="Times New Roman" w:hAnsi="Times New Roman" w:cs="Times New Roman"/>
                <w:bCs/>
                <w:color w:val="000000"/>
              </w:rPr>
            </w:pPr>
            <w:r w:rsidRPr="008D22BE">
              <w:rPr>
                <w:rFonts w:ascii="Times New Roman" w:hAnsi="Times New Roman" w:cs="Times New Roman"/>
                <w:bCs/>
                <w:color w:val="000000"/>
              </w:rPr>
              <w:t>107,8</w:t>
            </w:r>
          </w:p>
        </w:tc>
      </w:tr>
      <w:tr w:rsidR="008D22BE" w:rsidRPr="008D22BE" w14:paraId="7A4ADB1D" w14:textId="77777777" w:rsidTr="008D22BE">
        <w:tc>
          <w:tcPr>
            <w:tcW w:w="3119" w:type="dxa"/>
            <w:vAlign w:val="center"/>
          </w:tcPr>
          <w:p w14:paraId="3E3ECFAC" w14:textId="77777777" w:rsidR="008D22BE" w:rsidRPr="008D22BE" w:rsidRDefault="008D22BE" w:rsidP="0053532A">
            <w:pPr>
              <w:spacing w:line="276" w:lineRule="auto"/>
              <w:ind w:right="-108" w:firstLine="318"/>
              <w:rPr>
                <w:rFonts w:ascii="Times New Roman" w:hAnsi="Times New Roman" w:cs="Times New Roman"/>
                <w:color w:val="000000"/>
              </w:rPr>
            </w:pPr>
            <w:proofErr w:type="spellStart"/>
            <w:r w:rsidRPr="008D22BE">
              <w:rPr>
                <w:rFonts w:ascii="Times New Roman" w:hAnsi="Times New Roman" w:cs="Times New Roman"/>
                <w:color w:val="000000"/>
              </w:rPr>
              <w:t>подпрограмма</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Внешняя</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трудовая</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миграция</w:t>
            </w:r>
            <w:proofErr w:type="spellEnd"/>
            <w:r w:rsidRPr="008D22BE">
              <w:rPr>
                <w:rFonts w:ascii="Times New Roman" w:hAnsi="Times New Roman" w:cs="Times New Roman"/>
                <w:color w:val="000000"/>
              </w:rPr>
              <w:t>»</w:t>
            </w:r>
          </w:p>
        </w:tc>
        <w:tc>
          <w:tcPr>
            <w:tcW w:w="2161" w:type="dxa"/>
            <w:vAlign w:val="center"/>
          </w:tcPr>
          <w:p w14:paraId="0AB1D5E0"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35 081,2</w:t>
            </w:r>
          </w:p>
        </w:tc>
        <w:tc>
          <w:tcPr>
            <w:tcW w:w="1950" w:type="dxa"/>
            <w:vAlign w:val="center"/>
          </w:tcPr>
          <w:p w14:paraId="6366A46D"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26 295,1</w:t>
            </w:r>
          </w:p>
        </w:tc>
        <w:tc>
          <w:tcPr>
            <w:tcW w:w="2126" w:type="dxa"/>
            <w:vAlign w:val="center"/>
          </w:tcPr>
          <w:p w14:paraId="73BED052"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75,0</w:t>
            </w:r>
          </w:p>
        </w:tc>
      </w:tr>
      <w:tr w:rsidR="008D22BE" w:rsidRPr="008D22BE" w14:paraId="03EE37B2" w14:textId="77777777" w:rsidTr="008D22BE">
        <w:tc>
          <w:tcPr>
            <w:tcW w:w="3119" w:type="dxa"/>
            <w:vAlign w:val="center"/>
          </w:tcPr>
          <w:p w14:paraId="24C4D528"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 xml:space="preserve">подпрограмма «Развитие </w:t>
            </w:r>
            <w:r w:rsidRPr="008D22BE">
              <w:rPr>
                <w:rFonts w:ascii="Times New Roman" w:hAnsi="Times New Roman" w:cs="Times New Roman"/>
                <w:color w:val="000000"/>
                <w:lang w:val="ru-RU"/>
              </w:rPr>
              <w:lastRenderedPageBreak/>
              <w:t>институтов рынка труда»</w:t>
            </w:r>
          </w:p>
        </w:tc>
        <w:tc>
          <w:tcPr>
            <w:tcW w:w="2161" w:type="dxa"/>
            <w:vAlign w:val="center"/>
          </w:tcPr>
          <w:p w14:paraId="2E322F7B"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lastRenderedPageBreak/>
              <w:t>3 676,8</w:t>
            </w:r>
          </w:p>
        </w:tc>
        <w:tc>
          <w:tcPr>
            <w:tcW w:w="1950" w:type="dxa"/>
            <w:vAlign w:val="center"/>
          </w:tcPr>
          <w:p w14:paraId="56545441"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3 200,7</w:t>
            </w:r>
          </w:p>
        </w:tc>
        <w:tc>
          <w:tcPr>
            <w:tcW w:w="2126" w:type="dxa"/>
            <w:vAlign w:val="center"/>
          </w:tcPr>
          <w:p w14:paraId="7C3121E5"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87,1</w:t>
            </w:r>
          </w:p>
        </w:tc>
      </w:tr>
      <w:tr w:rsidR="008D22BE" w:rsidRPr="008D22BE" w14:paraId="3F2983DB" w14:textId="77777777" w:rsidTr="008D22BE">
        <w:tc>
          <w:tcPr>
            <w:tcW w:w="3119" w:type="dxa"/>
            <w:vAlign w:val="center"/>
          </w:tcPr>
          <w:p w14:paraId="64DB518C" w14:textId="77777777" w:rsidR="008D22BE" w:rsidRPr="008D22BE" w:rsidRDefault="008D22BE" w:rsidP="0053532A">
            <w:pPr>
              <w:spacing w:line="276" w:lineRule="auto"/>
              <w:ind w:right="-108" w:firstLine="318"/>
              <w:rPr>
                <w:rFonts w:ascii="Times New Roman" w:hAnsi="Times New Roman" w:cs="Times New Roman"/>
                <w:color w:val="000000"/>
              </w:rPr>
            </w:pPr>
            <w:r w:rsidRPr="008D22BE">
              <w:rPr>
                <w:rFonts w:ascii="Times New Roman" w:hAnsi="Times New Roman" w:cs="Times New Roman"/>
                <w:color w:val="000000"/>
                <w:lang w:val="ru-RU"/>
              </w:rPr>
              <w:lastRenderedPageBreak/>
              <w:t xml:space="preserve">подпрограмма «Оказание содействия добровольному переселению в Российскую </w:t>
            </w:r>
            <w:proofErr w:type="spellStart"/>
            <w:r w:rsidRPr="008D22BE">
              <w:rPr>
                <w:rFonts w:ascii="Times New Roman" w:hAnsi="Times New Roman" w:cs="Times New Roman"/>
                <w:color w:val="000000"/>
              </w:rPr>
              <w:t>Федерацию</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соотечественников</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проживающих</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за</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рубежом</w:t>
            </w:r>
            <w:proofErr w:type="spellEnd"/>
            <w:r w:rsidRPr="008D22BE">
              <w:rPr>
                <w:rFonts w:ascii="Times New Roman" w:hAnsi="Times New Roman" w:cs="Times New Roman"/>
                <w:color w:val="000000"/>
              </w:rPr>
              <w:t>»</w:t>
            </w:r>
          </w:p>
        </w:tc>
        <w:tc>
          <w:tcPr>
            <w:tcW w:w="2161" w:type="dxa"/>
            <w:vAlign w:val="center"/>
          </w:tcPr>
          <w:p w14:paraId="4CD4564E"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2 662,3</w:t>
            </w:r>
          </w:p>
        </w:tc>
        <w:tc>
          <w:tcPr>
            <w:tcW w:w="1950" w:type="dxa"/>
            <w:vAlign w:val="center"/>
          </w:tcPr>
          <w:p w14:paraId="08FFBE23"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2 399,8</w:t>
            </w:r>
          </w:p>
        </w:tc>
        <w:tc>
          <w:tcPr>
            <w:tcW w:w="2126" w:type="dxa"/>
            <w:vAlign w:val="center"/>
          </w:tcPr>
          <w:p w14:paraId="562E0959"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90,1</w:t>
            </w:r>
          </w:p>
        </w:tc>
      </w:tr>
      <w:tr w:rsidR="008D22BE" w:rsidRPr="008D22BE" w14:paraId="06FCF868" w14:textId="77777777" w:rsidTr="008D22BE">
        <w:tc>
          <w:tcPr>
            <w:tcW w:w="3119" w:type="dxa"/>
            <w:vAlign w:val="bottom"/>
          </w:tcPr>
          <w:p w14:paraId="36B4514F" w14:textId="77777777" w:rsidR="008D22BE" w:rsidRPr="008D22BE" w:rsidRDefault="008D22BE" w:rsidP="0053532A">
            <w:pPr>
              <w:spacing w:line="276" w:lineRule="auto"/>
              <w:ind w:right="-108"/>
              <w:rPr>
                <w:rFonts w:ascii="Times New Roman" w:hAnsi="Times New Roman" w:cs="Times New Roman"/>
                <w:b/>
                <w:color w:val="000000"/>
                <w:lang w:val="ru-RU"/>
              </w:rPr>
            </w:pPr>
            <w:r w:rsidRPr="008D22BE">
              <w:rPr>
                <w:rFonts w:ascii="Times New Roman" w:hAnsi="Times New Roman" w:cs="Times New Roman"/>
                <w:b/>
                <w:color w:val="000000"/>
                <w:lang w:val="ru-RU"/>
              </w:rPr>
              <w:t>Непрограммное направление «Развитие пенсионной системы»</w:t>
            </w:r>
          </w:p>
        </w:tc>
        <w:tc>
          <w:tcPr>
            <w:tcW w:w="2161" w:type="dxa"/>
            <w:vAlign w:val="center"/>
          </w:tcPr>
          <w:p w14:paraId="3EA01AFE" w14:textId="77777777" w:rsidR="008D22BE" w:rsidRPr="008D22BE" w:rsidRDefault="008D22BE" w:rsidP="0053532A">
            <w:pPr>
              <w:pStyle w:val="af"/>
              <w:spacing w:line="276" w:lineRule="auto"/>
              <w:ind w:left="0"/>
              <w:contextualSpacing w:val="0"/>
              <w:jc w:val="center"/>
              <w:rPr>
                <w:rFonts w:ascii="Times New Roman" w:hAnsi="Times New Roman" w:cs="Times New Roman"/>
                <w:b/>
              </w:rPr>
            </w:pPr>
            <w:r w:rsidRPr="008D22BE">
              <w:rPr>
                <w:rFonts w:ascii="Times New Roman" w:hAnsi="Times New Roman" w:cs="Times New Roman"/>
                <w:b/>
                <w:color w:val="000000"/>
              </w:rPr>
              <w:t>2 758 847,0</w:t>
            </w:r>
          </w:p>
        </w:tc>
        <w:tc>
          <w:tcPr>
            <w:tcW w:w="1950" w:type="dxa"/>
            <w:vAlign w:val="center"/>
          </w:tcPr>
          <w:p w14:paraId="1F384D34" w14:textId="77777777" w:rsidR="008D22BE" w:rsidRPr="008D22BE" w:rsidRDefault="008D22BE" w:rsidP="0053532A">
            <w:pPr>
              <w:pStyle w:val="af"/>
              <w:spacing w:line="276" w:lineRule="auto"/>
              <w:ind w:left="0"/>
              <w:contextualSpacing w:val="0"/>
              <w:jc w:val="center"/>
              <w:rPr>
                <w:rFonts w:ascii="Times New Roman" w:hAnsi="Times New Roman" w:cs="Times New Roman"/>
                <w:b/>
              </w:rPr>
            </w:pPr>
            <w:r w:rsidRPr="008D22BE">
              <w:rPr>
                <w:rFonts w:ascii="Times New Roman" w:hAnsi="Times New Roman" w:cs="Times New Roman"/>
                <w:b/>
                <w:color w:val="000000"/>
              </w:rPr>
              <w:t>2 968 160,5</w:t>
            </w:r>
          </w:p>
        </w:tc>
        <w:tc>
          <w:tcPr>
            <w:tcW w:w="2126" w:type="dxa"/>
            <w:vAlign w:val="center"/>
          </w:tcPr>
          <w:p w14:paraId="4DF68FF1" w14:textId="77777777" w:rsidR="008D22BE" w:rsidRPr="008D22BE" w:rsidRDefault="008D22BE" w:rsidP="0053532A">
            <w:pPr>
              <w:pStyle w:val="af"/>
              <w:spacing w:line="276" w:lineRule="auto"/>
              <w:ind w:left="0"/>
              <w:contextualSpacing w:val="0"/>
              <w:jc w:val="center"/>
              <w:rPr>
                <w:rFonts w:ascii="Times New Roman" w:hAnsi="Times New Roman" w:cs="Times New Roman"/>
                <w:b/>
              </w:rPr>
            </w:pPr>
            <w:r w:rsidRPr="008D22BE">
              <w:rPr>
                <w:rFonts w:ascii="Times New Roman" w:hAnsi="Times New Roman" w:cs="Times New Roman"/>
                <w:b/>
              </w:rPr>
              <w:t>107,6</w:t>
            </w:r>
          </w:p>
        </w:tc>
      </w:tr>
      <w:tr w:rsidR="008D22BE" w:rsidRPr="008D22BE" w14:paraId="285022F6" w14:textId="77777777" w:rsidTr="008D22BE">
        <w:tc>
          <w:tcPr>
            <w:tcW w:w="3119" w:type="dxa"/>
            <w:vAlign w:val="center"/>
          </w:tcPr>
          <w:p w14:paraId="31D257D1" w14:textId="77777777" w:rsidR="008D22BE" w:rsidRPr="008D22BE" w:rsidRDefault="008D22BE" w:rsidP="0053532A">
            <w:pPr>
              <w:spacing w:line="276" w:lineRule="auto"/>
              <w:ind w:right="-108" w:firstLine="318"/>
              <w:rPr>
                <w:rFonts w:ascii="Times New Roman" w:hAnsi="Times New Roman" w:cs="Times New Roman"/>
                <w:i/>
                <w:color w:val="000000"/>
              </w:rPr>
            </w:pPr>
            <w:r w:rsidRPr="008D22BE">
              <w:rPr>
                <w:rFonts w:ascii="Times New Roman" w:hAnsi="Times New Roman" w:cs="Times New Roman"/>
                <w:i/>
                <w:color w:val="000000"/>
              </w:rPr>
              <w:t xml:space="preserve">в </w:t>
            </w:r>
            <w:proofErr w:type="spellStart"/>
            <w:r w:rsidRPr="008D22BE">
              <w:rPr>
                <w:rFonts w:ascii="Times New Roman" w:hAnsi="Times New Roman" w:cs="Times New Roman"/>
                <w:i/>
                <w:color w:val="000000"/>
              </w:rPr>
              <w:t>том</w:t>
            </w:r>
            <w:proofErr w:type="spellEnd"/>
            <w:r w:rsidRPr="008D22BE">
              <w:rPr>
                <w:rFonts w:ascii="Times New Roman" w:hAnsi="Times New Roman" w:cs="Times New Roman"/>
                <w:i/>
                <w:color w:val="000000"/>
              </w:rPr>
              <w:t xml:space="preserve"> </w:t>
            </w:r>
            <w:proofErr w:type="spellStart"/>
            <w:r w:rsidRPr="008D22BE">
              <w:rPr>
                <w:rFonts w:ascii="Times New Roman" w:hAnsi="Times New Roman" w:cs="Times New Roman"/>
                <w:i/>
                <w:color w:val="000000"/>
              </w:rPr>
              <w:t>числе</w:t>
            </w:r>
            <w:proofErr w:type="spellEnd"/>
            <w:r w:rsidRPr="008D22BE">
              <w:rPr>
                <w:rFonts w:ascii="Times New Roman" w:hAnsi="Times New Roman" w:cs="Times New Roman"/>
                <w:i/>
                <w:color w:val="000000"/>
              </w:rPr>
              <w:t>:</w:t>
            </w:r>
          </w:p>
        </w:tc>
        <w:tc>
          <w:tcPr>
            <w:tcW w:w="2161" w:type="dxa"/>
            <w:vAlign w:val="center"/>
          </w:tcPr>
          <w:p w14:paraId="6D7FC2F1" w14:textId="77777777" w:rsidR="008D22BE" w:rsidRPr="008D22BE" w:rsidRDefault="008D22BE" w:rsidP="0053532A">
            <w:pPr>
              <w:pStyle w:val="af"/>
              <w:spacing w:line="276" w:lineRule="auto"/>
              <w:ind w:left="0"/>
              <w:contextualSpacing w:val="0"/>
              <w:jc w:val="center"/>
              <w:rPr>
                <w:rFonts w:ascii="Times New Roman" w:hAnsi="Times New Roman" w:cs="Times New Roman"/>
                <w:b/>
                <w:color w:val="000000"/>
              </w:rPr>
            </w:pPr>
          </w:p>
        </w:tc>
        <w:tc>
          <w:tcPr>
            <w:tcW w:w="1950" w:type="dxa"/>
            <w:vAlign w:val="center"/>
          </w:tcPr>
          <w:p w14:paraId="59668578" w14:textId="77777777" w:rsidR="008D22BE" w:rsidRPr="008D22BE" w:rsidRDefault="008D22BE" w:rsidP="0053532A">
            <w:pPr>
              <w:pStyle w:val="af"/>
              <w:spacing w:line="276" w:lineRule="auto"/>
              <w:ind w:left="0"/>
              <w:contextualSpacing w:val="0"/>
              <w:jc w:val="center"/>
              <w:rPr>
                <w:rFonts w:ascii="Times New Roman" w:hAnsi="Times New Roman" w:cs="Times New Roman"/>
                <w:b/>
                <w:color w:val="000000"/>
              </w:rPr>
            </w:pPr>
          </w:p>
        </w:tc>
        <w:tc>
          <w:tcPr>
            <w:tcW w:w="2126" w:type="dxa"/>
            <w:vAlign w:val="center"/>
          </w:tcPr>
          <w:p w14:paraId="4D1B386A" w14:textId="77777777" w:rsidR="008D22BE" w:rsidRPr="008D22BE" w:rsidRDefault="008D22BE" w:rsidP="0053532A">
            <w:pPr>
              <w:pStyle w:val="af"/>
              <w:spacing w:line="276" w:lineRule="auto"/>
              <w:ind w:left="0"/>
              <w:contextualSpacing w:val="0"/>
              <w:jc w:val="center"/>
              <w:rPr>
                <w:rFonts w:ascii="Times New Roman" w:hAnsi="Times New Roman" w:cs="Times New Roman"/>
                <w:b/>
              </w:rPr>
            </w:pPr>
          </w:p>
        </w:tc>
      </w:tr>
      <w:tr w:rsidR="008D22BE" w:rsidRPr="008D22BE" w14:paraId="11D31E29" w14:textId="77777777" w:rsidTr="008D22BE">
        <w:tc>
          <w:tcPr>
            <w:tcW w:w="3119" w:type="dxa"/>
            <w:vAlign w:val="center"/>
          </w:tcPr>
          <w:p w14:paraId="2559F2CA"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трансферт бюджету ПФР на компенсацию выпадающих доходов в связи с установлением пониженных тарифов страховых взносов на обязательное пенсионное страхование</w:t>
            </w:r>
          </w:p>
        </w:tc>
        <w:tc>
          <w:tcPr>
            <w:tcW w:w="2161" w:type="dxa"/>
            <w:vAlign w:val="center"/>
          </w:tcPr>
          <w:p w14:paraId="06C3E470"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342 898,3</w:t>
            </w:r>
          </w:p>
        </w:tc>
        <w:tc>
          <w:tcPr>
            <w:tcW w:w="1950" w:type="dxa"/>
            <w:vAlign w:val="center"/>
          </w:tcPr>
          <w:p w14:paraId="241F40E1"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392 036,8</w:t>
            </w:r>
          </w:p>
        </w:tc>
        <w:tc>
          <w:tcPr>
            <w:tcW w:w="2126" w:type="dxa"/>
            <w:vAlign w:val="center"/>
          </w:tcPr>
          <w:p w14:paraId="5E08C750"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114,3</w:t>
            </w:r>
          </w:p>
        </w:tc>
      </w:tr>
      <w:tr w:rsidR="008D22BE" w:rsidRPr="008D22BE" w14:paraId="670A344C" w14:textId="77777777" w:rsidTr="008D22BE">
        <w:tc>
          <w:tcPr>
            <w:tcW w:w="3119" w:type="dxa"/>
            <w:vAlign w:val="center"/>
          </w:tcPr>
          <w:p w14:paraId="6B38B30E" w14:textId="77777777" w:rsidR="008D22BE" w:rsidRPr="008D22BE" w:rsidRDefault="008D22BE" w:rsidP="0053532A">
            <w:pPr>
              <w:spacing w:line="276" w:lineRule="auto"/>
              <w:ind w:right="-108" w:firstLine="318"/>
              <w:rPr>
                <w:rFonts w:ascii="Times New Roman" w:hAnsi="Times New Roman" w:cs="Times New Roman"/>
                <w:color w:val="000000"/>
                <w:lang w:val="ru-RU"/>
              </w:rPr>
            </w:pPr>
            <w:r w:rsidRPr="008D22BE">
              <w:rPr>
                <w:rFonts w:ascii="Times New Roman" w:hAnsi="Times New Roman" w:cs="Times New Roman"/>
                <w:color w:val="000000"/>
                <w:lang w:val="ru-RU"/>
              </w:rPr>
              <w:t>трансферт ПФР на обязательное пенсионное страхование*</w:t>
            </w:r>
          </w:p>
        </w:tc>
        <w:tc>
          <w:tcPr>
            <w:tcW w:w="2161" w:type="dxa"/>
            <w:vAlign w:val="center"/>
          </w:tcPr>
          <w:p w14:paraId="793A07B5"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689 919,0</w:t>
            </w:r>
          </w:p>
        </w:tc>
        <w:tc>
          <w:tcPr>
            <w:tcW w:w="1950" w:type="dxa"/>
            <w:vAlign w:val="center"/>
          </w:tcPr>
          <w:p w14:paraId="4246B30C"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810 510,9</w:t>
            </w:r>
          </w:p>
        </w:tc>
        <w:tc>
          <w:tcPr>
            <w:tcW w:w="2126" w:type="dxa"/>
            <w:vAlign w:val="center"/>
          </w:tcPr>
          <w:p w14:paraId="2D4FBCC9"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117,5</w:t>
            </w:r>
          </w:p>
        </w:tc>
      </w:tr>
      <w:tr w:rsidR="008D22BE" w:rsidRPr="008D22BE" w14:paraId="4B159FC5" w14:textId="77777777" w:rsidTr="008D22BE">
        <w:tc>
          <w:tcPr>
            <w:tcW w:w="9356" w:type="dxa"/>
            <w:gridSpan w:val="4"/>
            <w:vAlign w:val="center"/>
          </w:tcPr>
          <w:p w14:paraId="0D853A2E" w14:textId="77777777" w:rsidR="008D22BE" w:rsidRPr="008D22BE" w:rsidRDefault="008D22BE" w:rsidP="0053532A">
            <w:pPr>
              <w:spacing w:line="276" w:lineRule="auto"/>
              <w:ind w:firstLine="318"/>
              <w:jc w:val="both"/>
              <w:rPr>
                <w:rFonts w:ascii="Times New Roman" w:hAnsi="Times New Roman" w:cs="Times New Roman"/>
                <w:color w:val="000000"/>
                <w:lang w:val="ru-RU"/>
              </w:rPr>
            </w:pPr>
            <w:r w:rsidRPr="008D22BE">
              <w:rPr>
                <w:rFonts w:ascii="Times New Roman" w:hAnsi="Times New Roman" w:cs="Times New Roman"/>
                <w:color w:val="000000"/>
                <w:lang w:val="ru-RU"/>
              </w:rPr>
              <w:t>Примечание: * До 2015 г. – трансферт на обеспечение сбалансированности бюджета ПФР.</w:t>
            </w:r>
          </w:p>
        </w:tc>
      </w:tr>
    </w:tbl>
    <w:p w14:paraId="179F3717" w14:textId="77777777" w:rsidR="008D22BE" w:rsidRPr="00206A53" w:rsidRDefault="008D22BE" w:rsidP="008D22BE">
      <w:pPr>
        <w:pStyle w:val="af"/>
        <w:spacing w:after="60"/>
        <w:ind w:left="0"/>
        <w:jc w:val="both"/>
        <w:rPr>
          <w:rFonts w:ascii="Times New Roman" w:hAnsi="Times New Roman" w:cs="Times New Roman"/>
          <w:sz w:val="26"/>
          <w:szCs w:val="26"/>
        </w:rPr>
      </w:pPr>
    </w:p>
    <w:p w14:paraId="52111DC2" w14:textId="77777777" w:rsidR="008D22BE" w:rsidRPr="00206A53" w:rsidRDefault="008D22BE" w:rsidP="008D22BE">
      <w:pPr>
        <w:pStyle w:val="af"/>
        <w:spacing w:after="60"/>
        <w:ind w:left="0" w:firstLine="567"/>
        <w:jc w:val="both"/>
        <w:rPr>
          <w:rFonts w:ascii="Times New Roman" w:hAnsi="Times New Roman" w:cs="Times New Roman"/>
          <w:sz w:val="26"/>
          <w:szCs w:val="26"/>
        </w:rPr>
      </w:pPr>
      <w:r w:rsidRPr="00206A53">
        <w:rPr>
          <w:rFonts w:ascii="Times New Roman" w:hAnsi="Times New Roman" w:cs="Times New Roman"/>
          <w:sz w:val="26"/>
          <w:szCs w:val="26"/>
        </w:rPr>
        <w:t xml:space="preserve">В проекте федерального бюджета 2016 года предусмотрено небольшое (на 5,5%) увеличение объема поддержки бюджетов субъектов РФ с помощью дотаций на выравнивание бюджетной обеспеченности, хотя число </w:t>
      </w:r>
      <w:proofErr w:type="gramStart"/>
      <w:r w:rsidRPr="00206A53">
        <w:rPr>
          <w:rFonts w:ascii="Times New Roman" w:hAnsi="Times New Roman" w:cs="Times New Roman"/>
          <w:sz w:val="26"/>
          <w:szCs w:val="26"/>
        </w:rPr>
        <w:t>регионов, не получающих этот вид трансфертов выросло</w:t>
      </w:r>
      <w:proofErr w:type="gramEnd"/>
      <w:r w:rsidRPr="00206A53">
        <w:rPr>
          <w:rFonts w:ascii="Times New Roman" w:hAnsi="Times New Roman" w:cs="Times New Roman"/>
          <w:sz w:val="26"/>
          <w:szCs w:val="26"/>
        </w:rPr>
        <w:t xml:space="preserve"> с 12 в 20</w:t>
      </w:r>
      <w:r w:rsidR="002A12F5">
        <w:rPr>
          <w:rFonts w:ascii="Times New Roman" w:hAnsi="Times New Roman" w:cs="Times New Roman"/>
          <w:sz w:val="26"/>
          <w:szCs w:val="26"/>
        </w:rPr>
        <w:t>15 г. до 14 в 2016 г. (Таблица 8</w:t>
      </w:r>
      <w:r w:rsidRPr="00206A53">
        <w:rPr>
          <w:rFonts w:ascii="Times New Roman" w:hAnsi="Times New Roman" w:cs="Times New Roman"/>
          <w:sz w:val="26"/>
          <w:szCs w:val="26"/>
        </w:rPr>
        <w:t>). О динамике дотаций на сбалансированность судить по запланированным объемам сложно, т.к. этот вид поддержки региональных бюджетов выделяется очень ситуативно и, как правило, сильно корректируется в течение финансового года в зависимости от фактической ситуации в регионах. Так, в 2015 г. их объем в бюджетной росписи был снижен на четверть от предусмотренного первоначальным вариантом закона о бюджете. Одним из источников для экономии средств федерального бюджета, судя по двукратному сокращению планируемых ассигнований, были выбраны дотации на частичную компенсацию дополнительных расходов на повышение оплаты труда работников бюджетной сферы бюджетам субъектов РФ. Поскольку оснований ожидать увеличения объема поддержки региональных бюджетов из федеральных средств нет, многим субъектам РФ придется самостоятельно балансировать свои социальные обязательства и бюджетные возможности.</w:t>
      </w:r>
    </w:p>
    <w:p w14:paraId="75AF825A" w14:textId="77777777" w:rsidR="008D22BE" w:rsidRPr="00206A53" w:rsidRDefault="008D22BE" w:rsidP="008D22BE">
      <w:pPr>
        <w:pStyle w:val="af"/>
        <w:spacing w:after="60"/>
        <w:ind w:left="0" w:firstLine="567"/>
        <w:jc w:val="both"/>
        <w:rPr>
          <w:rFonts w:ascii="Times New Roman" w:hAnsi="Times New Roman" w:cs="Times New Roman"/>
          <w:sz w:val="26"/>
          <w:szCs w:val="26"/>
        </w:rPr>
      </w:pPr>
    </w:p>
    <w:p w14:paraId="69289F98" w14:textId="77777777" w:rsidR="008D22BE" w:rsidRPr="002A12F5" w:rsidRDefault="002A12F5" w:rsidP="008D22BE">
      <w:pPr>
        <w:pStyle w:val="af"/>
        <w:spacing w:after="60"/>
        <w:ind w:left="0"/>
        <w:jc w:val="center"/>
        <w:rPr>
          <w:rFonts w:ascii="Times New Roman" w:hAnsi="Times New Roman" w:cs="Times New Roman"/>
          <w:b/>
          <w:sz w:val="26"/>
          <w:szCs w:val="26"/>
        </w:rPr>
      </w:pPr>
      <w:r w:rsidRPr="002A12F5">
        <w:rPr>
          <w:rFonts w:ascii="Times New Roman" w:hAnsi="Times New Roman" w:cs="Times New Roman"/>
          <w:b/>
          <w:sz w:val="26"/>
          <w:szCs w:val="26"/>
        </w:rPr>
        <w:t>Таблица 8</w:t>
      </w:r>
      <w:r w:rsidR="008D22BE" w:rsidRPr="002A12F5">
        <w:rPr>
          <w:rFonts w:ascii="Times New Roman" w:hAnsi="Times New Roman" w:cs="Times New Roman"/>
          <w:b/>
          <w:sz w:val="26"/>
          <w:szCs w:val="26"/>
        </w:rPr>
        <w:t>. Объем некоторых видов межбюджетных трансфертов из федерального бюджета бюджетам субъектов РФ</w:t>
      </w:r>
    </w:p>
    <w:tbl>
      <w:tblPr>
        <w:tblStyle w:val="a8"/>
        <w:tblW w:w="5000" w:type="pct"/>
        <w:jc w:val="center"/>
        <w:tblInd w:w="108" w:type="dxa"/>
        <w:tblLook w:val="04A0" w:firstRow="1" w:lastRow="0" w:firstColumn="1" w:lastColumn="0" w:noHBand="0" w:noVBand="1"/>
      </w:tblPr>
      <w:tblGrid>
        <w:gridCol w:w="3474"/>
        <w:gridCol w:w="2407"/>
        <w:gridCol w:w="2407"/>
        <w:gridCol w:w="2133"/>
      </w:tblGrid>
      <w:tr w:rsidR="008D22BE" w:rsidRPr="008D22BE" w14:paraId="6079C7E6" w14:textId="77777777" w:rsidTr="008D22BE">
        <w:trPr>
          <w:jc w:val="center"/>
        </w:trPr>
        <w:tc>
          <w:tcPr>
            <w:tcW w:w="3119" w:type="dxa"/>
            <w:vMerge w:val="restart"/>
            <w:vAlign w:val="center"/>
          </w:tcPr>
          <w:p w14:paraId="567F6F72" w14:textId="77777777" w:rsidR="008D22BE" w:rsidRPr="008D22BE" w:rsidRDefault="008D22BE" w:rsidP="0053532A">
            <w:pPr>
              <w:pStyle w:val="af"/>
              <w:spacing w:after="60" w:line="276" w:lineRule="auto"/>
              <w:ind w:left="0"/>
              <w:jc w:val="center"/>
              <w:rPr>
                <w:rFonts w:ascii="Times New Roman" w:hAnsi="Times New Roman" w:cs="Times New Roman"/>
              </w:rPr>
            </w:pPr>
            <w:proofErr w:type="spellStart"/>
            <w:r w:rsidRPr="008D22BE">
              <w:rPr>
                <w:rFonts w:ascii="Times New Roman" w:hAnsi="Times New Roman" w:cs="Times New Roman"/>
              </w:rPr>
              <w:t>Наименование</w:t>
            </w:r>
            <w:proofErr w:type="spellEnd"/>
            <w:r w:rsidRPr="008D22BE">
              <w:rPr>
                <w:rFonts w:ascii="Times New Roman" w:hAnsi="Times New Roman" w:cs="Times New Roman"/>
              </w:rPr>
              <w:t xml:space="preserve"> </w:t>
            </w:r>
            <w:proofErr w:type="spellStart"/>
            <w:r w:rsidRPr="008D22BE">
              <w:rPr>
                <w:rFonts w:ascii="Times New Roman" w:hAnsi="Times New Roman" w:cs="Times New Roman"/>
              </w:rPr>
              <w:t>показателя</w:t>
            </w:r>
            <w:proofErr w:type="spellEnd"/>
          </w:p>
        </w:tc>
        <w:tc>
          <w:tcPr>
            <w:tcW w:w="4322" w:type="dxa"/>
            <w:gridSpan w:val="2"/>
            <w:vAlign w:val="center"/>
          </w:tcPr>
          <w:p w14:paraId="71E35176" w14:textId="77777777" w:rsidR="008D22BE" w:rsidRPr="008D22BE" w:rsidRDefault="008D22BE" w:rsidP="0053532A">
            <w:pPr>
              <w:pStyle w:val="af"/>
              <w:spacing w:after="60" w:line="276" w:lineRule="auto"/>
              <w:ind w:left="0"/>
              <w:jc w:val="center"/>
              <w:rPr>
                <w:rFonts w:ascii="Times New Roman" w:hAnsi="Times New Roman" w:cs="Times New Roman"/>
                <w:lang w:val="ru-RU"/>
              </w:rPr>
            </w:pPr>
            <w:r w:rsidRPr="008D22BE">
              <w:rPr>
                <w:rFonts w:ascii="Times New Roman" w:hAnsi="Times New Roman" w:cs="Times New Roman"/>
                <w:lang w:val="ru-RU"/>
              </w:rPr>
              <w:t xml:space="preserve">Объем запланированных расходов, </w:t>
            </w:r>
            <w:proofErr w:type="gramStart"/>
            <w:r w:rsidRPr="008D22BE">
              <w:rPr>
                <w:rFonts w:ascii="Times New Roman" w:hAnsi="Times New Roman" w:cs="Times New Roman"/>
                <w:lang w:val="ru-RU"/>
              </w:rPr>
              <w:t>млн</w:t>
            </w:r>
            <w:proofErr w:type="gramEnd"/>
            <w:r w:rsidRPr="008D22BE">
              <w:rPr>
                <w:rFonts w:ascii="Times New Roman" w:hAnsi="Times New Roman" w:cs="Times New Roman"/>
                <w:lang w:val="ru-RU"/>
              </w:rPr>
              <w:t xml:space="preserve"> руб.</w:t>
            </w:r>
          </w:p>
        </w:tc>
        <w:tc>
          <w:tcPr>
            <w:tcW w:w="1915" w:type="dxa"/>
            <w:vMerge w:val="restart"/>
            <w:vAlign w:val="center"/>
          </w:tcPr>
          <w:p w14:paraId="38B90F08" w14:textId="77777777" w:rsidR="008D22BE" w:rsidRPr="008D22BE" w:rsidRDefault="008D22BE" w:rsidP="0053532A">
            <w:pPr>
              <w:pStyle w:val="af"/>
              <w:spacing w:after="60" w:line="276" w:lineRule="auto"/>
              <w:ind w:left="0"/>
              <w:jc w:val="center"/>
              <w:rPr>
                <w:rFonts w:ascii="Times New Roman" w:hAnsi="Times New Roman" w:cs="Times New Roman"/>
                <w:lang w:val="ru-RU"/>
              </w:rPr>
            </w:pPr>
            <w:r w:rsidRPr="008D22BE">
              <w:rPr>
                <w:rFonts w:ascii="Times New Roman" w:hAnsi="Times New Roman" w:cs="Times New Roman"/>
                <w:lang w:val="ru-RU"/>
              </w:rPr>
              <w:t xml:space="preserve">Темпы роста, </w:t>
            </w:r>
          </w:p>
          <w:p w14:paraId="2E8286CA" w14:textId="77777777" w:rsidR="008D22BE" w:rsidRPr="008D22BE" w:rsidRDefault="008D22BE" w:rsidP="0053532A">
            <w:pPr>
              <w:pStyle w:val="af"/>
              <w:spacing w:after="60" w:line="276" w:lineRule="auto"/>
              <w:ind w:left="0"/>
              <w:jc w:val="center"/>
              <w:rPr>
                <w:rFonts w:ascii="Times New Roman" w:hAnsi="Times New Roman" w:cs="Times New Roman"/>
                <w:lang w:val="ru-RU"/>
              </w:rPr>
            </w:pPr>
            <w:r w:rsidRPr="008D22BE">
              <w:rPr>
                <w:rFonts w:ascii="Times New Roman" w:hAnsi="Times New Roman" w:cs="Times New Roman"/>
                <w:lang w:val="ru-RU"/>
              </w:rPr>
              <w:t>2016 г. к 2015 г., %</w:t>
            </w:r>
          </w:p>
        </w:tc>
      </w:tr>
      <w:tr w:rsidR="008D22BE" w:rsidRPr="008D22BE" w14:paraId="765217D8" w14:textId="77777777" w:rsidTr="008D22BE">
        <w:trPr>
          <w:jc w:val="center"/>
        </w:trPr>
        <w:tc>
          <w:tcPr>
            <w:tcW w:w="3119" w:type="dxa"/>
            <w:vMerge/>
          </w:tcPr>
          <w:p w14:paraId="3AF6BE90" w14:textId="77777777" w:rsidR="008D22BE" w:rsidRPr="008D22BE" w:rsidRDefault="008D22BE" w:rsidP="0053532A">
            <w:pPr>
              <w:pStyle w:val="af"/>
              <w:spacing w:after="60" w:line="276" w:lineRule="auto"/>
              <w:ind w:left="0"/>
              <w:jc w:val="both"/>
              <w:rPr>
                <w:rFonts w:ascii="Times New Roman" w:hAnsi="Times New Roman" w:cs="Times New Roman"/>
                <w:lang w:val="ru-RU"/>
              </w:rPr>
            </w:pPr>
          </w:p>
        </w:tc>
        <w:tc>
          <w:tcPr>
            <w:tcW w:w="2161" w:type="dxa"/>
            <w:vAlign w:val="center"/>
          </w:tcPr>
          <w:p w14:paraId="26F96564" w14:textId="77777777" w:rsidR="008D22BE" w:rsidRPr="008D22BE" w:rsidRDefault="008D22BE" w:rsidP="0053532A">
            <w:pPr>
              <w:pStyle w:val="af"/>
              <w:spacing w:after="60" w:line="276" w:lineRule="auto"/>
              <w:ind w:left="0"/>
              <w:jc w:val="center"/>
              <w:rPr>
                <w:rFonts w:ascii="Times New Roman" w:hAnsi="Times New Roman" w:cs="Times New Roman"/>
              </w:rPr>
            </w:pPr>
            <w:r w:rsidRPr="008D22BE">
              <w:rPr>
                <w:rFonts w:ascii="Times New Roman" w:hAnsi="Times New Roman" w:cs="Times New Roman"/>
              </w:rPr>
              <w:t xml:space="preserve">2015 г. </w:t>
            </w:r>
          </w:p>
          <w:p w14:paraId="48B38751" w14:textId="77777777" w:rsidR="008D22BE" w:rsidRPr="008D22BE" w:rsidRDefault="008D22BE" w:rsidP="0053532A">
            <w:pPr>
              <w:pStyle w:val="af"/>
              <w:spacing w:after="60" w:line="276" w:lineRule="auto"/>
              <w:ind w:left="0"/>
              <w:jc w:val="center"/>
              <w:rPr>
                <w:rFonts w:ascii="Times New Roman" w:hAnsi="Times New Roman" w:cs="Times New Roman"/>
              </w:rPr>
            </w:pPr>
            <w:r w:rsidRPr="008D22BE">
              <w:rPr>
                <w:rFonts w:ascii="Times New Roman" w:hAnsi="Times New Roman" w:cs="Times New Roman"/>
              </w:rPr>
              <w:t>(</w:t>
            </w:r>
            <w:proofErr w:type="spellStart"/>
            <w:r w:rsidRPr="008D22BE">
              <w:rPr>
                <w:rFonts w:ascii="Times New Roman" w:hAnsi="Times New Roman" w:cs="Times New Roman"/>
              </w:rPr>
              <w:t>роспись</w:t>
            </w:r>
            <w:proofErr w:type="spellEnd"/>
            <w:r w:rsidRPr="008D22BE">
              <w:rPr>
                <w:rFonts w:ascii="Times New Roman" w:hAnsi="Times New Roman" w:cs="Times New Roman"/>
              </w:rPr>
              <w:t xml:space="preserve"> </w:t>
            </w:r>
            <w:proofErr w:type="spellStart"/>
            <w:r w:rsidRPr="008D22BE">
              <w:rPr>
                <w:rFonts w:ascii="Times New Roman" w:hAnsi="Times New Roman" w:cs="Times New Roman"/>
              </w:rPr>
              <w:t>на</w:t>
            </w:r>
            <w:proofErr w:type="spellEnd"/>
            <w:r w:rsidRPr="008D22BE">
              <w:rPr>
                <w:rFonts w:ascii="Times New Roman" w:hAnsi="Times New Roman" w:cs="Times New Roman"/>
              </w:rPr>
              <w:t xml:space="preserve"> 1 </w:t>
            </w:r>
            <w:proofErr w:type="spellStart"/>
            <w:r w:rsidRPr="008D22BE">
              <w:rPr>
                <w:rFonts w:ascii="Times New Roman" w:hAnsi="Times New Roman" w:cs="Times New Roman"/>
              </w:rPr>
              <w:t>октября</w:t>
            </w:r>
            <w:proofErr w:type="spellEnd"/>
            <w:r w:rsidRPr="008D22BE">
              <w:rPr>
                <w:rFonts w:ascii="Times New Roman" w:hAnsi="Times New Roman" w:cs="Times New Roman"/>
              </w:rPr>
              <w:t>)</w:t>
            </w:r>
          </w:p>
        </w:tc>
        <w:tc>
          <w:tcPr>
            <w:tcW w:w="2161" w:type="dxa"/>
            <w:vAlign w:val="center"/>
          </w:tcPr>
          <w:p w14:paraId="2A5B0E09" w14:textId="77777777" w:rsidR="008D22BE" w:rsidRPr="008D22BE" w:rsidRDefault="008D22BE" w:rsidP="0053532A">
            <w:pPr>
              <w:pStyle w:val="af"/>
              <w:spacing w:after="60" w:line="276" w:lineRule="auto"/>
              <w:ind w:left="0"/>
              <w:jc w:val="center"/>
              <w:rPr>
                <w:rFonts w:ascii="Times New Roman" w:hAnsi="Times New Roman" w:cs="Times New Roman"/>
              </w:rPr>
            </w:pPr>
            <w:r w:rsidRPr="008D22BE">
              <w:rPr>
                <w:rFonts w:ascii="Times New Roman" w:hAnsi="Times New Roman" w:cs="Times New Roman"/>
              </w:rPr>
              <w:t>2016 г. (</w:t>
            </w:r>
            <w:proofErr w:type="spellStart"/>
            <w:r w:rsidRPr="008D22BE">
              <w:rPr>
                <w:rFonts w:ascii="Times New Roman" w:hAnsi="Times New Roman" w:cs="Times New Roman"/>
              </w:rPr>
              <w:t>проект</w:t>
            </w:r>
            <w:proofErr w:type="spellEnd"/>
            <w:r w:rsidRPr="008D22BE">
              <w:rPr>
                <w:rFonts w:ascii="Times New Roman" w:hAnsi="Times New Roman" w:cs="Times New Roman"/>
              </w:rPr>
              <w:t>)</w:t>
            </w:r>
          </w:p>
        </w:tc>
        <w:tc>
          <w:tcPr>
            <w:tcW w:w="1915" w:type="dxa"/>
            <w:vMerge/>
            <w:vAlign w:val="center"/>
          </w:tcPr>
          <w:p w14:paraId="0236406C" w14:textId="77777777" w:rsidR="008D22BE" w:rsidRPr="008D22BE" w:rsidRDefault="008D22BE" w:rsidP="0053532A">
            <w:pPr>
              <w:pStyle w:val="af"/>
              <w:spacing w:after="60" w:line="276" w:lineRule="auto"/>
              <w:ind w:left="0"/>
              <w:jc w:val="center"/>
              <w:rPr>
                <w:rFonts w:ascii="Times New Roman" w:hAnsi="Times New Roman" w:cs="Times New Roman"/>
              </w:rPr>
            </w:pPr>
          </w:p>
        </w:tc>
      </w:tr>
      <w:tr w:rsidR="008D22BE" w:rsidRPr="008D22BE" w14:paraId="7930084F" w14:textId="77777777" w:rsidTr="008D22BE">
        <w:trPr>
          <w:jc w:val="center"/>
        </w:trPr>
        <w:tc>
          <w:tcPr>
            <w:tcW w:w="3119" w:type="dxa"/>
            <w:vAlign w:val="center"/>
          </w:tcPr>
          <w:p w14:paraId="4669A48B" w14:textId="77777777" w:rsidR="008D22BE" w:rsidRPr="008D22BE" w:rsidRDefault="008D22BE" w:rsidP="0053532A">
            <w:pPr>
              <w:spacing w:line="276" w:lineRule="auto"/>
              <w:rPr>
                <w:rFonts w:ascii="Times New Roman" w:hAnsi="Times New Roman" w:cs="Times New Roman"/>
                <w:color w:val="000000"/>
                <w:lang w:val="ru-RU"/>
              </w:rPr>
            </w:pPr>
            <w:r w:rsidRPr="008D22BE">
              <w:rPr>
                <w:rFonts w:ascii="Times New Roman" w:hAnsi="Times New Roman" w:cs="Times New Roman"/>
                <w:color w:val="000000"/>
                <w:lang w:val="ru-RU"/>
              </w:rPr>
              <w:t>Дотации на выравнивание бюджетной обеспеченности субъектов РФ</w:t>
            </w:r>
          </w:p>
        </w:tc>
        <w:tc>
          <w:tcPr>
            <w:tcW w:w="2161" w:type="dxa"/>
            <w:vAlign w:val="center"/>
          </w:tcPr>
          <w:p w14:paraId="5DDA48A1"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487 772,3</w:t>
            </w:r>
          </w:p>
        </w:tc>
        <w:tc>
          <w:tcPr>
            <w:tcW w:w="2161" w:type="dxa"/>
            <w:vAlign w:val="center"/>
          </w:tcPr>
          <w:p w14:paraId="1A21240E"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514 599,7</w:t>
            </w:r>
          </w:p>
        </w:tc>
        <w:tc>
          <w:tcPr>
            <w:tcW w:w="1915" w:type="dxa"/>
            <w:vAlign w:val="center"/>
          </w:tcPr>
          <w:p w14:paraId="0470DF38"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105,5</w:t>
            </w:r>
          </w:p>
        </w:tc>
      </w:tr>
      <w:tr w:rsidR="008D22BE" w:rsidRPr="008D22BE" w14:paraId="17F4C3BC" w14:textId="77777777" w:rsidTr="008D22BE">
        <w:trPr>
          <w:jc w:val="center"/>
        </w:trPr>
        <w:tc>
          <w:tcPr>
            <w:tcW w:w="3119" w:type="dxa"/>
            <w:vAlign w:val="center"/>
          </w:tcPr>
          <w:p w14:paraId="42BBBBE8" w14:textId="77777777" w:rsidR="008D22BE" w:rsidRPr="008D22BE" w:rsidRDefault="008D22BE" w:rsidP="0053532A">
            <w:pPr>
              <w:spacing w:line="276" w:lineRule="auto"/>
              <w:rPr>
                <w:rFonts w:ascii="Times New Roman" w:hAnsi="Times New Roman" w:cs="Times New Roman"/>
                <w:color w:val="000000"/>
                <w:lang w:val="ru-RU"/>
              </w:rPr>
            </w:pPr>
            <w:r w:rsidRPr="008D22BE">
              <w:rPr>
                <w:rFonts w:ascii="Times New Roman" w:hAnsi="Times New Roman" w:cs="Times New Roman"/>
                <w:color w:val="000000"/>
                <w:lang w:val="ru-RU"/>
              </w:rPr>
              <w:t xml:space="preserve">Дотации на поддержку мер по </w:t>
            </w:r>
            <w:r w:rsidRPr="008D22BE">
              <w:rPr>
                <w:rFonts w:ascii="Times New Roman" w:hAnsi="Times New Roman" w:cs="Times New Roman"/>
                <w:color w:val="000000"/>
                <w:lang w:val="ru-RU"/>
              </w:rPr>
              <w:lastRenderedPageBreak/>
              <w:t>обеспечению сбалансированности бюджетов субъектов РФ</w:t>
            </w:r>
          </w:p>
        </w:tc>
        <w:tc>
          <w:tcPr>
            <w:tcW w:w="2161" w:type="dxa"/>
            <w:vAlign w:val="center"/>
          </w:tcPr>
          <w:p w14:paraId="37247AD7"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rPr>
              <w:lastRenderedPageBreak/>
              <w:t>114 017,5*</w:t>
            </w:r>
          </w:p>
        </w:tc>
        <w:tc>
          <w:tcPr>
            <w:tcW w:w="2161" w:type="dxa"/>
            <w:vAlign w:val="center"/>
          </w:tcPr>
          <w:p w14:paraId="0D894F7E"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91 549,0</w:t>
            </w:r>
          </w:p>
        </w:tc>
        <w:tc>
          <w:tcPr>
            <w:tcW w:w="1915" w:type="dxa"/>
            <w:vAlign w:val="center"/>
          </w:tcPr>
          <w:p w14:paraId="67BB4FE4"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80,3</w:t>
            </w:r>
          </w:p>
        </w:tc>
      </w:tr>
      <w:tr w:rsidR="008D22BE" w:rsidRPr="008D22BE" w14:paraId="0B55A641" w14:textId="77777777" w:rsidTr="008D22BE">
        <w:trPr>
          <w:jc w:val="center"/>
        </w:trPr>
        <w:tc>
          <w:tcPr>
            <w:tcW w:w="3119" w:type="dxa"/>
            <w:vAlign w:val="center"/>
          </w:tcPr>
          <w:p w14:paraId="2405B7F9" w14:textId="77777777" w:rsidR="008D22BE" w:rsidRPr="008D22BE" w:rsidRDefault="008D22BE" w:rsidP="0053532A">
            <w:pPr>
              <w:spacing w:line="276" w:lineRule="auto"/>
              <w:ind w:firstLine="34"/>
              <w:rPr>
                <w:rFonts w:ascii="Times New Roman" w:hAnsi="Times New Roman" w:cs="Times New Roman"/>
                <w:color w:val="000000"/>
                <w:lang w:val="ru-RU"/>
              </w:rPr>
            </w:pPr>
            <w:r w:rsidRPr="008D22BE">
              <w:rPr>
                <w:rFonts w:ascii="Times New Roman" w:hAnsi="Times New Roman" w:cs="Times New Roman"/>
                <w:color w:val="000000"/>
                <w:lang w:val="ru-RU"/>
              </w:rPr>
              <w:lastRenderedPageBreak/>
              <w:t>Дотации на частичную компенсацию дополнительных расходов на повышение оплаты труда работников бюджетной сферы бюджетам субъектов РФ</w:t>
            </w:r>
          </w:p>
        </w:tc>
        <w:tc>
          <w:tcPr>
            <w:tcW w:w="2161" w:type="dxa"/>
            <w:vAlign w:val="center"/>
          </w:tcPr>
          <w:p w14:paraId="0A6F9989"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60 000,0</w:t>
            </w:r>
          </w:p>
        </w:tc>
        <w:tc>
          <w:tcPr>
            <w:tcW w:w="2161" w:type="dxa"/>
            <w:vAlign w:val="center"/>
          </w:tcPr>
          <w:p w14:paraId="7661DA95"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30 000,0</w:t>
            </w:r>
          </w:p>
        </w:tc>
        <w:tc>
          <w:tcPr>
            <w:tcW w:w="1915" w:type="dxa"/>
            <w:vAlign w:val="center"/>
          </w:tcPr>
          <w:p w14:paraId="230B80B7" w14:textId="77777777" w:rsidR="008D22BE" w:rsidRPr="008D22BE" w:rsidRDefault="008D22BE" w:rsidP="0053532A">
            <w:pPr>
              <w:spacing w:line="276" w:lineRule="auto"/>
              <w:jc w:val="center"/>
              <w:rPr>
                <w:rFonts w:ascii="Times New Roman" w:hAnsi="Times New Roman" w:cs="Times New Roman"/>
                <w:color w:val="000000"/>
              </w:rPr>
            </w:pPr>
            <w:r w:rsidRPr="008D22BE">
              <w:rPr>
                <w:rFonts w:ascii="Times New Roman" w:hAnsi="Times New Roman" w:cs="Times New Roman"/>
                <w:color w:val="000000"/>
              </w:rPr>
              <w:t>50,0</w:t>
            </w:r>
          </w:p>
        </w:tc>
      </w:tr>
      <w:tr w:rsidR="008D22BE" w:rsidRPr="008D22BE" w14:paraId="430CC40E" w14:textId="77777777" w:rsidTr="008D22BE">
        <w:trPr>
          <w:jc w:val="center"/>
        </w:trPr>
        <w:tc>
          <w:tcPr>
            <w:tcW w:w="9356" w:type="dxa"/>
            <w:gridSpan w:val="4"/>
            <w:vAlign w:val="center"/>
          </w:tcPr>
          <w:p w14:paraId="6FD7C0CF" w14:textId="77777777" w:rsidR="008D22BE" w:rsidRPr="008D22BE" w:rsidRDefault="008D22BE" w:rsidP="0053532A">
            <w:pPr>
              <w:spacing w:line="276" w:lineRule="auto"/>
              <w:ind w:firstLine="318"/>
              <w:rPr>
                <w:rFonts w:ascii="Times New Roman" w:hAnsi="Times New Roman" w:cs="Times New Roman"/>
                <w:color w:val="000000"/>
              </w:rPr>
            </w:pPr>
            <w:proofErr w:type="spellStart"/>
            <w:r w:rsidRPr="008D22BE">
              <w:rPr>
                <w:rFonts w:ascii="Times New Roman" w:hAnsi="Times New Roman" w:cs="Times New Roman"/>
                <w:color w:val="000000"/>
              </w:rPr>
              <w:t>Примечание</w:t>
            </w:r>
            <w:proofErr w:type="spellEnd"/>
            <w:r w:rsidRPr="008D22BE">
              <w:rPr>
                <w:rFonts w:ascii="Times New Roman" w:hAnsi="Times New Roman" w:cs="Times New Roman"/>
                <w:color w:val="000000"/>
              </w:rPr>
              <w:t xml:space="preserve">: * </w:t>
            </w:r>
            <w:proofErr w:type="spellStart"/>
            <w:r w:rsidRPr="008D22BE">
              <w:rPr>
                <w:rFonts w:ascii="Times New Roman" w:hAnsi="Times New Roman" w:cs="Times New Roman"/>
                <w:color w:val="000000"/>
              </w:rPr>
              <w:t>Расчетные</w:t>
            </w:r>
            <w:proofErr w:type="spellEnd"/>
            <w:r w:rsidRPr="008D22BE">
              <w:rPr>
                <w:rFonts w:ascii="Times New Roman" w:hAnsi="Times New Roman" w:cs="Times New Roman"/>
                <w:color w:val="000000"/>
              </w:rPr>
              <w:t xml:space="preserve"> </w:t>
            </w:r>
            <w:proofErr w:type="spellStart"/>
            <w:r w:rsidRPr="008D22BE">
              <w:rPr>
                <w:rFonts w:ascii="Times New Roman" w:hAnsi="Times New Roman" w:cs="Times New Roman"/>
                <w:color w:val="000000"/>
              </w:rPr>
              <w:t>данные</w:t>
            </w:r>
            <w:proofErr w:type="spellEnd"/>
            <w:r w:rsidRPr="008D22BE">
              <w:rPr>
                <w:rFonts w:ascii="Times New Roman" w:hAnsi="Times New Roman" w:cs="Times New Roman"/>
                <w:color w:val="000000"/>
              </w:rPr>
              <w:t>.</w:t>
            </w:r>
          </w:p>
        </w:tc>
      </w:tr>
    </w:tbl>
    <w:p w14:paraId="5BCA147E" w14:textId="77777777" w:rsidR="002A12F5" w:rsidRPr="002A12F5" w:rsidRDefault="002A12F5" w:rsidP="002A12F5">
      <w:pPr>
        <w:spacing w:before="120" w:after="120"/>
        <w:ind w:firstLine="709"/>
        <w:jc w:val="both"/>
        <w:rPr>
          <w:rFonts w:ascii="Times New Roman" w:hAnsi="Times New Roman" w:cs="Times New Roman"/>
          <w:sz w:val="26"/>
          <w:szCs w:val="26"/>
        </w:rPr>
      </w:pPr>
    </w:p>
    <w:p w14:paraId="72810395" w14:textId="77777777" w:rsidR="001B608A" w:rsidRPr="001B608A" w:rsidRDefault="006B3A18" w:rsidP="001B608A">
      <w:pPr>
        <w:pStyle w:val="1"/>
        <w:spacing w:before="240" w:after="240"/>
        <w:jc w:val="center"/>
        <w:rPr>
          <w:rFonts w:ascii="Times New Roman" w:hAnsi="Times New Roman" w:cs="Times New Roman"/>
          <w:color w:val="auto"/>
        </w:rPr>
      </w:pPr>
      <w:bookmarkStart w:id="7" w:name="_Toc434260594"/>
      <w:r>
        <w:rPr>
          <w:rFonts w:ascii="Times New Roman" w:hAnsi="Times New Roman" w:cs="Times New Roman"/>
          <w:color w:val="auto"/>
        </w:rPr>
        <w:t>7</w:t>
      </w:r>
      <w:r w:rsidR="001B608A">
        <w:rPr>
          <w:rFonts w:ascii="Times New Roman" w:hAnsi="Times New Roman" w:cs="Times New Roman"/>
          <w:color w:val="auto"/>
        </w:rPr>
        <w:t>. Бюджетные расходы на науку</w:t>
      </w:r>
      <w:bookmarkEnd w:id="7"/>
    </w:p>
    <w:p w14:paraId="5A7354DA"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 xml:space="preserve">Представленный к обсуждению в Федеральном Собрании </w:t>
      </w:r>
      <w:r w:rsidR="002A12F5">
        <w:rPr>
          <w:rFonts w:ascii="Times New Roman" w:hAnsi="Times New Roman" w:cs="Times New Roman"/>
          <w:sz w:val="26"/>
          <w:szCs w:val="26"/>
        </w:rPr>
        <w:t>Российской Федерации</w:t>
      </w:r>
      <w:r w:rsidRPr="001B608A">
        <w:rPr>
          <w:rFonts w:ascii="Times New Roman" w:hAnsi="Times New Roman" w:cs="Times New Roman"/>
          <w:sz w:val="26"/>
          <w:szCs w:val="26"/>
        </w:rPr>
        <w:t xml:space="preserve"> проект</w:t>
      </w:r>
      <w:r>
        <w:rPr>
          <w:rFonts w:ascii="Times New Roman" w:hAnsi="Times New Roman" w:cs="Times New Roman"/>
          <w:sz w:val="26"/>
          <w:szCs w:val="26"/>
        </w:rPr>
        <w:t xml:space="preserve"> </w:t>
      </w:r>
      <w:r w:rsidRPr="001B608A">
        <w:rPr>
          <w:rFonts w:ascii="Times New Roman" w:hAnsi="Times New Roman" w:cs="Times New Roman"/>
          <w:sz w:val="26"/>
          <w:szCs w:val="26"/>
        </w:rPr>
        <w:t>Федерального бюджета на 2016 г. демонстрирует, что в условиях сохранения кризисных явлений в экономике продолжается ощутимое сокращение расходов государства на поддержку исследований и разработок.</w:t>
      </w:r>
      <w:r>
        <w:rPr>
          <w:rFonts w:ascii="Times New Roman" w:hAnsi="Times New Roman" w:cs="Times New Roman"/>
          <w:sz w:val="26"/>
          <w:szCs w:val="26"/>
        </w:rPr>
        <w:t xml:space="preserve"> </w:t>
      </w:r>
      <w:r w:rsidRPr="001B608A">
        <w:rPr>
          <w:rFonts w:ascii="Times New Roman" w:hAnsi="Times New Roman" w:cs="Times New Roman"/>
          <w:sz w:val="26"/>
          <w:szCs w:val="26"/>
        </w:rPr>
        <w:t>Это касается всего объема ассигнований на гражданскую науку, а также расходов по отдельным направлениям расходов</w:t>
      </w:r>
      <w:r w:rsidRPr="001B608A">
        <w:rPr>
          <w:rStyle w:val="a3"/>
          <w:rFonts w:ascii="Times New Roman" w:hAnsi="Times New Roman"/>
          <w:sz w:val="26"/>
          <w:szCs w:val="26"/>
        </w:rPr>
        <w:footnoteReference w:id="2"/>
      </w:r>
      <w:r w:rsidR="002A12F5">
        <w:rPr>
          <w:rFonts w:ascii="Times New Roman" w:hAnsi="Times New Roman" w:cs="Times New Roman"/>
          <w:sz w:val="26"/>
          <w:szCs w:val="26"/>
        </w:rPr>
        <w:t>.</w:t>
      </w:r>
    </w:p>
    <w:p w14:paraId="158B146D"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Общие ассигнования на гражданскую науку в представленном проекте</w:t>
      </w:r>
      <w:r>
        <w:rPr>
          <w:rFonts w:ascii="Times New Roman" w:hAnsi="Times New Roman" w:cs="Times New Roman"/>
          <w:sz w:val="26"/>
          <w:szCs w:val="26"/>
        </w:rPr>
        <w:t xml:space="preserve"> </w:t>
      </w:r>
      <w:r w:rsidRPr="001B608A">
        <w:rPr>
          <w:rFonts w:ascii="Times New Roman" w:hAnsi="Times New Roman" w:cs="Times New Roman"/>
          <w:sz w:val="26"/>
          <w:szCs w:val="26"/>
        </w:rPr>
        <w:t>бюджета на 2016 г.</w:t>
      </w:r>
      <w:r>
        <w:rPr>
          <w:rFonts w:ascii="Times New Roman" w:hAnsi="Times New Roman" w:cs="Times New Roman"/>
          <w:sz w:val="26"/>
          <w:szCs w:val="26"/>
        </w:rPr>
        <w:t xml:space="preserve"> </w:t>
      </w:r>
      <w:r w:rsidRPr="001B608A">
        <w:rPr>
          <w:rFonts w:ascii="Times New Roman" w:hAnsi="Times New Roman" w:cs="Times New Roman"/>
          <w:sz w:val="26"/>
          <w:szCs w:val="26"/>
        </w:rPr>
        <w:t>(примерно 304 млрд. руб.) лишь в 1.3 раза выше значений 2010 г., но заметно меньше объемов, которые выделялись в</w:t>
      </w:r>
      <w:r>
        <w:rPr>
          <w:rFonts w:ascii="Times New Roman" w:hAnsi="Times New Roman" w:cs="Times New Roman"/>
          <w:sz w:val="26"/>
          <w:szCs w:val="26"/>
        </w:rPr>
        <w:t xml:space="preserve"> </w:t>
      </w:r>
      <w:r w:rsidRPr="001B608A">
        <w:rPr>
          <w:rFonts w:ascii="Times New Roman" w:hAnsi="Times New Roman" w:cs="Times New Roman"/>
          <w:sz w:val="26"/>
          <w:szCs w:val="26"/>
        </w:rPr>
        <w:t>2011-2015 гг.</w:t>
      </w:r>
      <w:r>
        <w:rPr>
          <w:rFonts w:ascii="Times New Roman" w:hAnsi="Times New Roman" w:cs="Times New Roman"/>
          <w:sz w:val="26"/>
          <w:szCs w:val="26"/>
        </w:rPr>
        <w:t xml:space="preserve"> </w:t>
      </w:r>
      <w:r w:rsidRPr="001B608A">
        <w:rPr>
          <w:rFonts w:ascii="Times New Roman" w:hAnsi="Times New Roman" w:cs="Times New Roman"/>
          <w:sz w:val="26"/>
          <w:szCs w:val="26"/>
        </w:rPr>
        <w:t>Доля ассигнований на гражданскую науку в расходах федерального бюджета</w:t>
      </w:r>
      <w:r>
        <w:rPr>
          <w:rFonts w:ascii="Times New Roman" w:hAnsi="Times New Roman" w:cs="Times New Roman"/>
          <w:sz w:val="26"/>
          <w:szCs w:val="26"/>
        </w:rPr>
        <w:t xml:space="preserve"> </w:t>
      </w:r>
      <w:r w:rsidRPr="001B608A">
        <w:rPr>
          <w:rFonts w:ascii="Times New Roman" w:hAnsi="Times New Roman" w:cs="Times New Roman"/>
          <w:sz w:val="26"/>
          <w:szCs w:val="26"/>
        </w:rPr>
        <w:t>по плану составит</w:t>
      </w:r>
      <w:r>
        <w:rPr>
          <w:rFonts w:ascii="Times New Roman" w:hAnsi="Times New Roman" w:cs="Times New Roman"/>
          <w:sz w:val="26"/>
          <w:szCs w:val="26"/>
        </w:rPr>
        <w:t xml:space="preserve"> </w:t>
      </w:r>
      <w:r w:rsidRPr="001B608A">
        <w:rPr>
          <w:rFonts w:ascii="Times New Roman" w:hAnsi="Times New Roman" w:cs="Times New Roman"/>
          <w:sz w:val="26"/>
          <w:szCs w:val="26"/>
        </w:rPr>
        <w:t>2.32%.</w:t>
      </w:r>
      <w:r>
        <w:rPr>
          <w:rFonts w:ascii="Times New Roman" w:hAnsi="Times New Roman" w:cs="Times New Roman"/>
          <w:sz w:val="26"/>
          <w:szCs w:val="26"/>
        </w:rPr>
        <w:t xml:space="preserve"> </w:t>
      </w:r>
    </w:p>
    <w:p w14:paraId="139B5C49"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С 2014 г. снижение финансовых потоков в фундаментальном сегменте науки составит менее 1%;</w:t>
      </w:r>
      <w:r>
        <w:rPr>
          <w:rFonts w:ascii="Times New Roman" w:hAnsi="Times New Roman" w:cs="Times New Roman"/>
          <w:sz w:val="26"/>
          <w:szCs w:val="26"/>
        </w:rPr>
        <w:t xml:space="preserve"> </w:t>
      </w:r>
      <w:r w:rsidRPr="001B608A">
        <w:rPr>
          <w:rFonts w:ascii="Times New Roman" w:hAnsi="Times New Roman" w:cs="Times New Roman"/>
          <w:sz w:val="26"/>
          <w:szCs w:val="26"/>
        </w:rPr>
        <w:t xml:space="preserve">по </w:t>
      </w:r>
      <w:proofErr w:type="gramStart"/>
      <w:r w:rsidRPr="001B608A">
        <w:rPr>
          <w:rFonts w:ascii="Times New Roman" w:hAnsi="Times New Roman" w:cs="Times New Roman"/>
          <w:sz w:val="26"/>
          <w:szCs w:val="26"/>
        </w:rPr>
        <w:t>прикладным</w:t>
      </w:r>
      <w:proofErr w:type="gramEnd"/>
      <w:r w:rsidRPr="001B608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B608A">
        <w:rPr>
          <w:rFonts w:ascii="Times New Roman" w:hAnsi="Times New Roman" w:cs="Times New Roman"/>
          <w:sz w:val="26"/>
          <w:szCs w:val="26"/>
        </w:rPr>
        <w:t>1.7 раза.</w:t>
      </w:r>
      <w:r>
        <w:rPr>
          <w:rFonts w:ascii="Times New Roman" w:hAnsi="Times New Roman" w:cs="Times New Roman"/>
          <w:sz w:val="26"/>
          <w:szCs w:val="26"/>
        </w:rPr>
        <w:t xml:space="preserve"> </w:t>
      </w:r>
      <w:r w:rsidRPr="001B608A">
        <w:rPr>
          <w:rFonts w:ascii="Times New Roman" w:hAnsi="Times New Roman" w:cs="Times New Roman"/>
          <w:sz w:val="26"/>
          <w:szCs w:val="26"/>
        </w:rPr>
        <w:t>При этом</w:t>
      </w:r>
      <w:proofErr w:type="gramStart"/>
      <w:r w:rsidRPr="001B608A">
        <w:rPr>
          <w:rFonts w:ascii="Times New Roman" w:hAnsi="Times New Roman" w:cs="Times New Roman"/>
          <w:sz w:val="26"/>
          <w:szCs w:val="26"/>
        </w:rPr>
        <w:t>,</w:t>
      </w:r>
      <w:proofErr w:type="gramEnd"/>
      <w:r w:rsidRPr="001B608A">
        <w:rPr>
          <w:rFonts w:ascii="Times New Roman" w:hAnsi="Times New Roman" w:cs="Times New Roman"/>
          <w:sz w:val="26"/>
          <w:szCs w:val="26"/>
        </w:rPr>
        <w:t xml:space="preserve"> по представленным данным, в 2016 г. планируется рост расходов федерального бюджета в целом (по сравнению с 2015 г. на 8% и предыдущими ориентировками на 2016 г.</w:t>
      </w:r>
      <w:r>
        <w:rPr>
          <w:rFonts w:ascii="Times New Roman" w:hAnsi="Times New Roman" w:cs="Times New Roman"/>
          <w:sz w:val="26"/>
          <w:szCs w:val="26"/>
        </w:rPr>
        <w:t xml:space="preserve"> </w:t>
      </w:r>
      <w:r w:rsidRPr="001B608A">
        <w:rPr>
          <w:rFonts w:ascii="Times New Roman" w:hAnsi="Times New Roman" w:cs="Times New Roman"/>
          <w:sz w:val="26"/>
          <w:szCs w:val="26"/>
        </w:rPr>
        <w:t>на 2.6%).</w:t>
      </w:r>
      <w:r>
        <w:rPr>
          <w:rFonts w:ascii="Times New Roman" w:hAnsi="Times New Roman" w:cs="Times New Roman"/>
          <w:sz w:val="26"/>
          <w:szCs w:val="26"/>
        </w:rPr>
        <w:t xml:space="preserve"> </w:t>
      </w:r>
    </w:p>
    <w:p w14:paraId="4A302952"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 xml:space="preserve">Что касается </w:t>
      </w:r>
      <w:r w:rsidRPr="001B608A">
        <w:rPr>
          <w:rFonts w:ascii="Times New Roman" w:hAnsi="Times New Roman" w:cs="Times New Roman"/>
          <w:i/>
          <w:sz w:val="26"/>
          <w:szCs w:val="26"/>
        </w:rPr>
        <w:t>дополнительных сокращений</w:t>
      </w:r>
      <w:r w:rsidRPr="001B608A">
        <w:rPr>
          <w:rStyle w:val="a3"/>
          <w:rFonts w:ascii="Times New Roman" w:hAnsi="Times New Roman"/>
          <w:sz w:val="26"/>
          <w:szCs w:val="26"/>
        </w:rPr>
        <w:footnoteReference w:id="3"/>
      </w:r>
      <w:r w:rsidRPr="001B608A">
        <w:rPr>
          <w:rFonts w:ascii="Times New Roman" w:hAnsi="Times New Roman" w:cs="Times New Roman"/>
          <w:sz w:val="26"/>
          <w:szCs w:val="26"/>
        </w:rPr>
        <w:t xml:space="preserve">, настораживает не столько сам их факт, который может восприниматься как «неизбежное зло», сколько не совсем понятная дифференциация масштабов секвестра по отдельным направлениям. </w:t>
      </w:r>
    </w:p>
    <w:p w14:paraId="34AE0F99"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По проекту бюджета на 2016 г.</w:t>
      </w:r>
      <w:r>
        <w:rPr>
          <w:rFonts w:ascii="Times New Roman" w:hAnsi="Times New Roman" w:cs="Times New Roman"/>
          <w:sz w:val="26"/>
          <w:szCs w:val="26"/>
        </w:rPr>
        <w:t xml:space="preserve"> </w:t>
      </w:r>
      <w:r w:rsidRPr="001B608A">
        <w:rPr>
          <w:rFonts w:ascii="Times New Roman" w:hAnsi="Times New Roman" w:cs="Times New Roman"/>
          <w:sz w:val="26"/>
          <w:szCs w:val="26"/>
        </w:rPr>
        <w:t>наибольшие дополнительные сокращения</w:t>
      </w:r>
      <w:r>
        <w:rPr>
          <w:rFonts w:ascii="Times New Roman" w:hAnsi="Times New Roman" w:cs="Times New Roman"/>
          <w:sz w:val="26"/>
          <w:szCs w:val="26"/>
        </w:rPr>
        <w:t xml:space="preserve"> </w:t>
      </w:r>
      <w:r w:rsidRPr="001B608A">
        <w:rPr>
          <w:rFonts w:ascii="Times New Roman" w:hAnsi="Times New Roman" w:cs="Times New Roman"/>
          <w:sz w:val="26"/>
          <w:szCs w:val="26"/>
        </w:rPr>
        <w:t>предусматриваются как раз по фундаментальным исследованиям (на 10.6%), а также</w:t>
      </w:r>
      <w:r>
        <w:rPr>
          <w:rFonts w:ascii="Times New Roman" w:hAnsi="Times New Roman" w:cs="Times New Roman"/>
          <w:sz w:val="26"/>
          <w:szCs w:val="26"/>
        </w:rPr>
        <w:t xml:space="preserve"> </w:t>
      </w:r>
      <w:r w:rsidRPr="001B608A">
        <w:rPr>
          <w:rFonts w:ascii="Times New Roman" w:hAnsi="Times New Roman" w:cs="Times New Roman"/>
          <w:sz w:val="26"/>
          <w:szCs w:val="26"/>
        </w:rPr>
        <w:t>прикладным исследованиям в таких областях, как охрана окружающей среды и культура, где и раньше финансовая поддержка была минимальной. Запланировано некоторое увеличение расходов</w:t>
      </w:r>
      <w:r>
        <w:rPr>
          <w:rFonts w:ascii="Times New Roman" w:hAnsi="Times New Roman" w:cs="Times New Roman"/>
          <w:sz w:val="26"/>
          <w:szCs w:val="26"/>
        </w:rPr>
        <w:t xml:space="preserve"> </w:t>
      </w:r>
      <w:r w:rsidRPr="001B608A">
        <w:rPr>
          <w:rFonts w:ascii="Times New Roman" w:hAnsi="Times New Roman" w:cs="Times New Roman"/>
          <w:sz w:val="26"/>
          <w:szCs w:val="26"/>
        </w:rPr>
        <w:t>на прикладные исследования</w:t>
      </w:r>
      <w:r>
        <w:rPr>
          <w:rFonts w:ascii="Times New Roman" w:hAnsi="Times New Roman" w:cs="Times New Roman"/>
          <w:sz w:val="26"/>
          <w:szCs w:val="26"/>
        </w:rPr>
        <w:t xml:space="preserve"> </w:t>
      </w:r>
      <w:r w:rsidRPr="001B608A">
        <w:rPr>
          <w:rFonts w:ascii="Times New Roman" w:hAnsi="Times New Roman" w:cs="Times New Roman"/>
          <w:sz w:val="26"/>
          <w:szCs w:val="26"/>
        </w:rPr>
        <w:t>в целом (на 4.6%), в экономике (на 8.2%), в области социальной политики (на 21.2%), что, конечно, не компенсирует падение прошлых лет.</w:t>
      </w:r>
      <w:r>
        <w:rPr>
          <w:rFonts w:ascii="Times New Roman" w:hAnsi="Times New Roman" w:cs="Times New Roman"/>
          <w:sz w:val="26"/>
          <w:szCs w:val="26"/>
        </w:rPr>
        <w:t xml:space="preserve"> </w:t>
      </w:r>
      <w:r w:rsidRPr="001B608A">
        <w:rPr>
          <w:rFonts w:ascii="Times New Roman" w:hAnsi="Times New Roman" w:cs="Times New Roman"/>
          <w:sz w:val="26"/>
          <w:szCs w:val="26"/>
        </w:rPr>
        <w:t>Почти на 7% снизится поддержка исследований и разработок в здравоохранении.</w:t>
      </w:r>
      <w:r>
        <w:rPr>
          <w:rFonts w:ascii="Times New Roman" w:hAnsi="Times New Roman" w:cs="Times New Roman"/>
          <w:sz w:val="26"/>
          <w:szCs w:val="26"/>
        </w:rPr>
        <w:t xml:space="preserve"> </w:t>
      </w:r>
    </w:p>
    <w:p w14:paraId="14992E23"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Напомним, что параметры научной специализации России</w:t>
      </w:r>
      <w:r>
        <w:rPr>
          <w:rFonts w:ascii="Times New Roman" w:hAnsi="Times New Roman" w:cs="Times New Roman"/>
          <w:sz w:val="26"/>
          <w:szCs w:val="26"/>
        </w:rPr>
        <w:t xml:space="preserve"> </w:t>
      </w:r>
      <w:r w:rsidRPr="001B608A">
        <w:rPr>
          <w:rFonts w:ascii="Times New Roman" w:hAnsi="Times New Roman" w:cs="Times New Roman"/>
          <w:sz w:val="26"/>
          <w:szCs w:val="26"/>
        </w:rPr>
        <w:t>и мировых</w:t>
      </w:r>
      <w:r>
        <w:rPr>
          <w:rFonts w:ascii="Times New Roman" w:hAnsi="Times New Roman" w:cs="Times New Roman"/>
          <w:sz w:val="26"/>
          <w:szCs w:val="26"/>
        </w:rPr>
        <w:t xml:space="preserve"> </w:t>
      </w:r>
      <w:r w:rsidRPr="001B608A">
        <w:rPr>
          <w:rFonts w:ascii="Times New Roman" w:hAnsi="Times New Roman" w:cs="Times New Roman"/>
          <w:sz w:val="26"/>
          <w:szCs w:val="26"/>
        </w:rPr>
        <w:t xml:space="preserve">лидеров довольно сильно различаются, в том числе по тому вниманию, которое уделяется развитию </w:t>
      </w:r>
      <w:r w:rsidRPr="001B608A">
        <w:rPr>
          <w:rFonts w:ascii="Times New Roman" w:hAnsi="Times New Roman" w:cs="Times New Roman"/>
          <w:sz w:val="26"/>
          <w:szCs w:val="26"/>
        </w:rPr>
        <w:lastRenderedPageBreak/>
        <w:t xml:space="preserve">и поддержке медицинских, биологических, других современных научно-технологических областей. Изменения, которые происходят или запланированы в масштабах и структуре расходов на науку, продуцируют дополнительные ограничения для улучшения научной специализации России, ее позиций в глобальном научно-технологическом пространстве. </w:t>
      </w:r>
    </w:p>
    <w:p w14:paraId="538BA81D" w14:textId="77777777" w:rsidR="001B608A" w:rsidRP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3. Отметим, что дополнительные сокращения не всегда согласуются с некоторыми декларациями</w:t>
      </w:r>
      <w:r>
        <w:rPr>
          <w:rFonts w:ascii="Times New Roman" w:hAnsi="Times New Roman" w:cs="Times New Roman"/>
          <w:sz w:val="26"/>
          <w:szCs w:val="26"/>
        </w:rPr>
        <w:t xml:space="preserve"> </w:t>
      </w:r>
      <w:r w:rsidRPr="001B608A">
        <w:rPr>
          <w:rFonts w:ascii="Times New Roman" w:hAnsi="Times New Roman" w:cs="Times New Roman"/>
          <w:sz w:val="26"/>
          <w:szCs w:val="26"/>
        </w:rPr>
        <w:t xml:space="preserve">государственной политики. Так, в поручениях Президента </w:t>
      </w:r>
      <w:r>
        <w:rPr>
          <w:rFonts w:ascii="Times New Roman" w:hAnsi="Times New Roman" w:cs="Times New Roman"/>
          <w:sz w:val="26"/>
          <w:szCs w:val="26"/>
        </w:rPr>
        <w:t xml:space="preserve">России </w:t>
      </w:r>
      <w:r w:rsidRPr="001B608A">
        <w:rPr>
          <w:rFonts w:ascii="Times New Roman" w:hAnsi="Times New Roman" w:cs="Times New Roman"/>
          <w:sz w:val="26"/>
          <w:szCs w:val="26"/>
        </w:rPr>
        <w:t>по итогам заседания Совета по образованию и науке (24.06.2015 г., Пр-1369) сформулирована задача усиления поддержки фундаментальной науки</w:t>
      </w:r>
      <w:r>
        <w:rPr>
          <w:rFonts w:ascii="Times New Roman" w:hAnsi="Times New Roman" w:cs="Times New Roman"/>
          <w:sz w:val="26"/>
          <w:szCs w:val="26"/>
        </w:rPr>
        <w:t xml:space="preserve"> </w:t>
      </w:r>
      <w:r w:rsidRPr="001B608A">
        <w:rPr>
          <w:rFonts w:ascii="Times New Roman" w:hAnsi="Times New Roman" w:cs="Times New Roman"/>
          <w:sz w:val="26"/>
          <w:szCs w:val="26"/>
        </w:rPr>
        <w:t xml:space="preserve">(доля таких расходов в ВВП с 2015 г. не должна уменьшаться). Риск невыполнения этого указания при запланированных расходах на науку очень высок. Сохраняется риск невыполнения положений «майских» указов Президента </w:t>
      </w:r>
      <w:r>
        <w:rPr>
          <w:rFonts w:ascii="Times New Roman" w:hAnsi="Times New Roman" w:cs="Times New Roman"/>
          <w:sz w:val="26"/>
          <w:szCs w:val="26"/>
        </w:rPr>
        <w:t>России</w:t>
      </w:r>
      <w:r w:rsidRPr="001B608A">
        <w:rPr>
          <w:rFonts w:ascii="Times New Roman" w:hAnsi="Times New Roman" w:cs="Times New Roman"/>
          <w:sz w:val="26"/>
          <w:szCs w:val="26"/>
        </w:rPr>
        <w:t xml:space="preserve"> №№597 и 599 в части науки. Отметим также, что существенные запросы к прикладной науке</w:t>
      </w:r>
      <w:r>
        <w:rPr>
          <w:rFonts w:ascii="Times New Roman" w:hAnsi="Times New Roman" w:cs="Times New Roman"/>
          <w:sz w:val="26"/>
          <w:szCs w:val="26"/>
        </w:rPr>
        <w:t xml:space="preserve"> </w:t>
      </w:r>
      <w:r w:rsidRPr="001B608A">
        <w:rPr>
          <w:rFonts w:ascii="Times New Roman" w:hAnsi="Times New Roman" w:cs="Times New Roman"/>
          <w:sz w:val="26"/>
          <w:szCs w:val="26"/>
        </w:rPr>
        <w:t xml:space="preserve">возникают в связи с реализацией в отраслях экономики программ </w:t>
      </w:r>
      <w:proofErr w:type="spellStart"/>
      <w:r w:rsidRPr="001B608A">
        <w:rPr>
          <w:rFonts w:ascii="Times New Roman" w:hAnsi="Times New Roman" w:cs="Times New Roman"/>
          <w:sz w:val="26"/>
          <w:szCs w:val="26"/>
        </w:rPr>
        <w:t>импортозамещения</w:t>
      </w:r>
      <w:proofErr w:type="spellEnd"/>
      <w:r w:rsidRPr="001B608A">
        <w:rPr>
          <w:rFonts w:ascii="Times New Roman" w:hAnsi="Times New Roman" w:cs="Times New Roman"/>
          <w:sz w:val="26"/>
          <w:szCs w:val="26"/>
        </w:rPr>
        <w:t xml:space="preserve">. В условиях стагнации при решении ключевых проблем научно-технологического развития сложно соблюдать требования о не менее чем 50% </w:t>
      </w:r>
      <w:proofErr w:type="spellStart"/>
      <w:r w:rsidRPr="001B608A">
        <w:rPr>
          <w:rFonts w:ascii="Times New Roman" w:hAnsi="Times New Roman" w:cs="Times New Roman"/>
          <w:sz w:val="26"/>
          <w:szCs w:val="26"/>
        </w:rPr>
        <w:t>софинансировании</w:t>
      </w:r>
      <w:proofErr w:type="spellEnd"/>
      <w:r w:rsidRPr="001B608A">
        <w:rPr>
          <w:rFonts w:ascii="Times New Roman" w:hAnsi="Times New Roman" w:cs="Times New Roman"/>
          <w:sz w:val="26"/>
          <w:szCs w:val="26"/>
        </w:rPr>
        <w:t xml:space="preserve"> прикладных исследований за счёт средств внебюджетных источников.</w:t>
      </w:r>
    </w:p>
    <w:p w14:paraId="2FBD519A" w14:textId="77777777" w:rsidR="001B608A" w:rsidRPr="001B608A" w:rsidRDefault="001B608A" w:rsidP="001B608A">
      <w:pPr>
        <w:spacing w:before="120" w:after="120"/>
        <w:ind w:firstLine="709"/>
        <w:jc w:val="both"/>
        <w:rPr>
          <w:rFonts w:ascii="Times New Roman" w:hAnsi="Times New Roman" w:cs="Times New Roman"/>
          <w:sz w:val="26"/>
          <w:szCs w:val="26"/>
        </w:rPr>
      </w:pPr>
      <w:r>
        <w:rPr>
          <w:rFonts w:ascii="Times New Roman" w:hAnsi="Times New Roman" w:cs="Times New Roman"/>
          <w:sz w:val="26"/>
          <w:szCs w:val="26"/>
        </w:rPr>
        <w:t>С</w:t>
      </w:r>
      <w:r w:rsidRPr="001B608A">
        <w:rPr>
          <w:rFonts w:ascii="Times New Roman" w:hAnsi="Times New Roman" w:cs="Times New Roman"/>
          <w:sz w:val="26"/>
          <w:szCs w:val="26"/>
        </w:rPr>
        <w:t>реди других, очевидно,</w:t>
      </w:r>
      <w:r>
        <w:rPr>
          <w:rFonts w:ascii="Times New Roman" w:hAnsi="Times New Roman" w:cs="Times New Roman"/>
          <w:sz w:val="26"/>
          <w:szCs w:val="26"/>
        </w:rPr>
        <w:t xml:space="preserve"> </w:t>
      </w:r>
      <w:r w:rsidRPr="001B608A">
        <w:rPr>
          <w:rFonts w:ascii="Times New Roman" w:hAnsi="Times New Roman" w:cs="Times New Roman"/>
          <w:sz w:val="26"/>
          <w:szCs w:val="26"/>
        </w:rPr>
        <w:t>нежелательных</w:t>
      </w:r>
      <w:r>
        <w:rPr>
          <w:rFonts w:ascii="Times New Roman" w:hAnsi="Times New Roman" w:cs="Times New Roman"/>
          <w:sz w:val="26"/>
          <w:szCs w:val="26"/>
        </w:rPr>
        <w:t xml:space="preserve"> </w:t>
      </w:r>
      <w:r w:rsidRPr="001B608A">
        <w:rPr>
          <w:rFonts w:ascii="Times New Roman" w:hAnsi="Times New Roman" w:cs="Times New Roman"/>
          <w:sz w:val="26"/>
          <w:szCs w:val="26"/>
        </w:rPr>
        <w:t>изменений –</w:t>
      </w:r>
      <w:r>
        <w:rPr>
          <w:rFonts w:ascii="Times New Roman" w:hAnsi="Times New Roman" w:cs="Times New Roman"/>
          <w:sz w:val="26"/>
          <w:szCs w:val="26"/>
        </w:rPr>
        <w:t xml:space="preserve"> </w:t>
      </w:r>
      <w:r w:rsidRPr="001B608A">
        <w:rPr>
          <w:rFonts w:ascii="Times New Roman" w:hAnsi="Times New Roman" w:cs="Times New Roman"/>
          <w:sz w:val="26"/>
          <w:szCs w:val="26"/>
        </w:rPr>
        <w:t>уменьшение на более чем 12% расходов федерального бюджета на Государственную программу «Развитие науки и технологий» на 2013-2020 гг. Дополнительные сокращения затронули все ее подпрограммы (кроме подпрограммы «Международное сотрудничество в сфере науки»). Почти вполовину урезаны средства подпрограммы «Институциональное развитие научно-исследовательского сектора», в рамках которой, в том числе</w:t>
      </w:r>
      <w:r>
        <w:rPr>
          <w:rFonts w:ascii="Times New Roman" w:hAnsi="Times New Roman" w:cs="Times New Roman"/>
          <w:sz w:val="26"/>
          <w:szCs w:val="26"/>
        </w:rPr>
        <w:t xml:space="preserve"> </w:t>
      </w:r>
      <w:r w:rsidRPr="001B608A">
        <w:rPr>
          <w:rFonts w:ascii="Times New Roman" w:hAnsi="Times New Roman" w:cs="Times New Roman"/>
          <w:sz w:val="26"/>
          <w:szCs w:val="26"/>
        </w:rPr>
        <w:t>предусмотрено создание на территории нашей страны</w:t>
      </w:r>
      <w:r>
        <w:rPr>
          <w:rFonts w:ascii="Times New Roman" w:hAnsi="Times New Roman" w:cs="Times New Roman"/>
          <w:sz w:val="26"/>
          <w:szCs w:val="26"/>
        </w:rPr>
        <w:t xml:space="preserve"> </w:t>
      </w:r>
      <w:r w:rsidRPr="001B608A">
        <w:rPr>
          <w:rFonts w:ascii="Times New Roman" w:hAnsi="Times New Roman" w:cs="Times New Roman"/>
          <w:sz w:val="26"/>
          <w:szCs w:val="26"/>
        </w:rPr>
        <w:t>крупных установок мирового уровня класса «мега-</w:t>
      </w:r>
      <w:proofErr w:type="spellStart"/>
      <w:r w:rsidRPr="001B608A">
        <w:rPr>
          <w:rFonts w:ascii="Times New Roman" w:hAnsi="Times New Roman" w:cs="Times New Roman"/>
          <w:sz w:val="26"/>
          <w:szCs w:val="26"/>
        </w:rPr>
        <w:t>сайнс</w:t>
      </w:r>
      <w:proofErr w:type="spellEnd"/>
      <w:r w:rsidRPr="001B608A">
        <w:rPr>
          <w:rFonts w:ascii="Times New Roman" w:hAnsi="Times New Roman" w:cs="Times New Roman"/>
          <w:sz w:val="26"/>
          <w:szCs w:val="26"/>
        </w:rPr>
        <w:t>».</w:t>
      </w:r>
      <w:r>
        <w:rPr>
          <w:rFonts w:ascii="Times New Roman" w:hAnsi="Times New Roman" w:cs="Times New Roman"/>
          <w:sz w:val="26"/>
          <w:szCs w:val="26"/>
        </w:rPr>
        <w:t xml:space="preserve"> </w:t>
      </w:r>
    </w:p>
    <w:p w14:paraId="0CF05E76" w14:textId="77777777" w:rsidR="001B608A" w:rsidRDefault="001B608A" w:rsidP="001B608A">
      <w:pPr>
        <w:spacing w:before="120" w:after="120"/>
        <w:ind w:firstLine="709"/>
        <w:jc w:val="both"/>
        <w:rPr>
          <w:rFonts w:ascii="Times New Roman" w:hAnsi="Times New Roman" w:cs="Times New Roman"/>
          <w:sz w:val="26"/>
          <w:szCs w:val="26"/>
        </w:rPr>
      </w:pPr>
      <w:r w:rsidRPr="001B608A">
        <w:rPr>
          <w:rFonts w:ascii="Times New Roman" w:hAnsi="Times New Roman" w:cs="Times New Roman"/>
          <w:sz w:val="26"/>
          <w:szCs w:val="26"/>
        </w:rPr>
        <w:t>Позитивным фактом является фактическое сохранение (пока) объемов финансирования</w:t>
      </w:r>
      <w:r>
        <w:rPr>
          <w:rFonts w:ascii="Times New Roman" w:hAnsi="Times New Roman" w:cs="Times New Roman"/>
          <w:sz w:val="26"/>
          <w:szCs w:val="26"/>
        </w:rPr>
        <w:t xml:space="preserve"> </w:t>
      </w:r>
      <w:r w:rsidRPr="001B608A">
        <w:rPr>
          <w:rFonts w:ascii="Times New Roman" w:hAnsi="Times New Roman" w:cs="Times New Roman"/>
          <w:sz w:val="26"/>
          <w:szCs w:val="26"/>
        </w:rPr>
        <w:t>в рамках федеральной целевой программы «Исследования и разработки по приоритетным направлениям развития научно-технологического комплекса России на 2014-2020 годы».</w:t>
      </w:r>
      <w:r>
        <w:rPr>
          <w:rFonts w:ascii="Times New Roman" w:hAnsi="Times New Roman" w:cs="Times New Roman"/>
          <w:sz w:val="26"/>
          <w:szCs w:val="26"/>
        </w:rPr>
        <w:t xml:space="preserve"> </w:t>
      </w:r>
    </w:p>
    <w:p w14:paraId="7C647C5A" w14:textId="77777777" w:rsidR="00227BAF" w:rsidRDefault="00227BAF" w:rsidP="001B608A">
      <w:pPr>
        <w:spacing w:before="120" w:after="120"/>
        <w:ind w:firstLine="709"/>
        <w:jc w:val="both"/>
        <w:rPr>
          <w:rFonts w:ascii="Times New Roman" w:hAnsi="Times New Roman" w:cs="Times New Roman"/>
          <w:sz w:val="26"/>
          <w:szCs w:val="26"/>
        </w:rPr>
      </w:pPr>
    </w:p>
    <w:p w14:paraId="36037E55" w14:textId="77777777" w:rsidR="00227BAF" w:rsidRDefault="00227BAF">
      <w:pPr>
        <w:rPr>
          <w:rFonts w:ascii="Times New Roman" w:hAnsi="Times New Roman" w:cs="Times New Roman"/>
          <w:sz w:val="26"/>
          <w:szCs w:val="26"/>
        </w:rPr>
      </w:pPr>
      <w:r>
        <w:rPr>
          <w:rFonts w:ascii="Times New Roman" w:hAnsi="Times New Roman" w:cs="Times New Roman"/>
          <w:sz w:val="26"/>
          <w:szCs w:val="26"/>
        </w:rPr>
        <w:br w:type="page"/>
      </w:r>
    </w:p>
    <w:p w14:paraId="149F9849" w14:textId="5AC83919" w:rsidR="00F33E6A" w:rsidRPr="003C50FF" w:rsidRDefault="003C50FF" w:rsidP="003C50FF">
      <w:pPr>
        <w:pStyle w:val="1"/>
        <w:spacing w:before="240" w:after="240"/>
        <w:jc w:val="center"/>
        <w:rPr>
          <w:rFonts w:ascii="Times New Roman" w:hAnsi="Times New Roman" w:cs="Times New Roman"/>
          <w:color w:val="auto"/>
        </w:rPr>
      </w:pPr>
      <w:bookmarkStart w:id="8" w:name="_Toc434260595"/>
      <w:r w:rsidRPr="003C50FF">
        <w:rPr>
          <w:rFonts w:ascii="Times New Roman" w:hAnsi="Times New Roman" w:cs="Times New Roman"/>
          <w:color w:val="auto"/>
        </w:rPr>
        <w:lastRenderedPageBreak/>
        <w:t>8</w:t>
      </w:r>
      <w:r w:rsidR="00F33E6A" w:rsidRPr="003C50FF">
        <w:rPr>
          <w:rFonts w:ascii="Times New Roman" w:hAnsi="Times New Roman" w:cs="Times New Roman"/>
          <w:color w:val="auto"/>
        </w:rPr>
        <w:t>. О резервах повышения эффективности бюджетных расходов</w:t>
      </w:r>
      <w:bookmarkEnd w:id="8"/>
    </w:p>
    <w:p w14:paraId="49A1E463" w14:textId="77777777" w:rsidR="00FE0AD5" w:rsidRDefault="00FE0AD5" w:rsidP="00FE0AD5">
      <w:pPr>
        <w:spacing w:after="0"/>
        <w:jc w:val="center"/>
        <w:rPr>
          <w:rFonts w:ascii="Times New Roman" w:eastAsia="Times New Roman" w:hAnsi="Times New Roman" w:cs="Times New Roman"/>
          <w:b/>
          <w:color w:val="000000"/>
          <w:sz w:val="28"/>
          <w:szCs w:val="28"/>
          <w:lang w:eastAsia="ru-RU"/>
        </w:rPr>
      </w:pPr>
    </w:p>
    <w:p w14:paraId="62C388D2" w14:textId="79236674" w:rsidR="00F33E6A" w:rsidRDefault="00F33E6A" w:rsidP="00F33E6A">
      <w:pPr>
        <w:spacing w:line="312"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учетом сказанного выше в предстоящий период </w:t>
      </w:r>
      <w:proofErr w:type="gramStart"/>
      <w:r w:rsidR="00FE0AD5" w:rsidRPr="00FE0AD5">
        <w:rPr>
          <w:rFonts w:ascii="Times New Roman" w:eastAsia="Times New Roman" w:hAnsi="Times New Roman" w:cs="Times New Roman"/>
          <w:color w:val="000000"/>
          <w:sz w:val="28"/>
          <w:szCs w:val="28"/>
          <w:lang w:eastAsia="ru-RU"/>
        </w:rPr>
        <w:t>абсолютно настоятельной</w:t>
      </w:r>
      <w:proofErr w:type="gramEnd"/>
      <w:r w:rsidR="00FE0AD5" w:rsidRPr="00FE0AD5">
        <w:rPr>
          <w:rFonts w:ascii="Times New Roman" w:eastAsia="Times New Roman" w:hAnsi="Times New Roman" w:cs="Times New Roman"/>
          <w:color w:val="000000"/>
          <w:sz w:val="28"/>
          <w:szCs w:val="28"/>
          <w:lang w:eastAsia="ru-RU"/>
        </w:rPr>
        <w:t xml:space="preserve"> </w:t>
      </w:r>
      <w:r w:rsidRPr="00FE0AD5">
        <w:rPr>
          <w:rFonts w:ascii="Times New Roman" w:eastAsia="Times New Roman" w:hAnsi="Times New Roman" w:cs="Times New Roman"/>
          <w:color w:val="000000"/>
          <w:sz w:val="28"/>
          <w:szCs w:val="28"/>
          <w:lang w:eastAsia="ru-RU"/>
        </w:rPr>
        <w:t>характер приобретает</w:t>
      </w:r>
      <w:r w:rsidRPr="00F33E6A">
        <w:rPr>
          <w:rFonts w:ascii="Times New Roman" w:eastAsia="Times New Roman" w:hAnsi="Times New Roman" w:cs="Times New Roman"/>
          <w:b/>
          <w:color w:val="000000"/>
          <w:sz w:val="28"/>
          <w:szCs w:val="28"/>
          <w:lang w:eastAsia="ru-RU"/>
        </w:rPr>
        <w:t xml:space="preserve"> </w:t>
      </w:r>
      <w:r w:rsidRPr="00FE0AD5">
        <w:rPr>
          <w:rFonts w:ascii="Times New Roman" w:eastAsia="Times New Roman" w:hAnsi="Times New Roman" w:cs="Times New Roman"/>
          <w:color w:val="000000"/>
          <w:sz w:val="28"/>
          <w:szCs w:val="28"/>
          <w:lang w:eastAsia="ru-RU"/>
        </w:rPr>
        <w:t>задача</w:t>
      </w:r>
      <w:r w:rsidRPr="00F33E6A">
        <w:rPr>
          <w:rFonts w:ascii="Times New Roman" w:eastAsia="Times New Roman" w:hAnsi="Times New Roman" w:cs="Times New Roman"/>
          <w:b/>
          <w:color w:val="000000"/>
          <w:sz w:val="28"/>
          <w:szCs w:val="28"/>
          <w:lang w:eastAsia="ru-RU"/>
        </w:rPr>
        <w:t xml:space="preserve"> совмещения предельно осмотрительной макроэкономической политики с приемлемым уровнем финансирования национальных приоритетов</w:t>
      </w:r>
      <w:r>
        <w:rPr>
          <w:rFonts w:ascii="Times New Roman" w:eastAsia="Times New Roman" w:hAnsi="Times New Roman" w:cs="Times New Roman"/>
          <w:color w:val="000000"/>
          <w:sz w:val="28"/>
          <w:szCs w:val="28"/>
          <w:lang w:eastAsia="ru-RU"/>
        </w:rPr>
        <w:t xml:space="preserve">, прежде всего деятельности по формированию </w:t>
      </w:r>
      <w:r w:rsidRPr="00F33E6A">
        <w:rPr>
          <w:rFonts w:ascii="Times New Roman" w:eastAsia="Times New Roman" w:hAnsi="Times New Roman" w:cs="Times New Roman"/>
          <w:b/>
          <w:color w:val="000000"/>
          <w:sz w:val="28"/>
          <w:szCs w:val="28"/>
          <w:lang w:eastAsia="ru-RU"/>
        </w:rPr>
        <w:t>человеческого капитала, который в недалекой перспективе станет решающим фактором конкурентоспособности российской экономики</w:t>
      </w:r>
      <w:r>
        <w:rPr>
          <w:rFonts w:ascii="Times New Roman" w:eastAsia="Times New Roman" w:hAnsi="Times New Roman" w:cs="Times New Roman"/>
          <w:color w:val="000000"/>
          <w:sz w:val="28"/>
          <w:szCs w:val="28"/>
          <w:lang w:eastAsia="ru-RU"/>
        </w:rPr>
        <w:t xml:space="preserve">. Представленный </w:t>
      </w:r>
      <w:r w:rsidRPr="00F33E6A">
        <w:rPr>
          <w:rFonts w:ascii="Times New Roman" w:eastAsia="Times New Roman" w:hAnsi="Times New Roman" w:cs="Times New Roman"/>
          <w:b/>
          <w:color w:val="000000"/>
          <w:sz w:val="28"/>
          <w:szCs w:val="28"/>
          <w:lang w:eastAsia="ru-RU"/>
        </w:rPr>
        <w:t>проект бюджета фактически не обеспечивает такого совмещения</w:t>
      </w:r>
      <w:r>
        <w:rPr>
          <w:rFonts w:ascii="Times New Roman" w:eastAsia="Times New Roman" w:hAnsi="Times New Roman" w:cs="Times New Roman"/>
          <w:color w:val="000000"/>
          <w:sz w:val="28"/>
          <w:szCs w:val="28"/>
          <w:lang w:eastAsia="ru-RU"/>
        </w:rPr>
        <w:t xml:space="preserve">. Единственно возможный путь к решению данной задачи – </w:t>
      </w:r>
      <w:r w:rsidRPr="00F33E6A">
        <w:rPr>
          <w:rFonts w:ascii="Times New Roman" w:eastAsia="Times New Roman" w:hAnsi="Times New Roman" w:cs="Times New Roman"/>
          <w:b/>
          <w:color w:val="000000"/>
          <w:sz w:val="28"/>
          <w:szCs w:val="28"/>
          <w:lang w:eastAsia="ru-RU"/>
        </w:rPr>
        <w:t>максимально точная идентификация имеющихся резервов эффективности бюджетных расходов и их быстрая мобилизация</w:t>
      </w:r>
      <w:r>
        <w:rPr>
          <w:rFonts w:ascii="Times New Roman" w:eastAsia="Times New Roman" w:hAnsi="Times New Roman" w:cs="Times New Roman"/>
          <w:color w:val="000000"/>
          <w:sz w:val="28"/>
          <w:szCs w:val="28"/>
          <w:lang w:eastAsia="ru-RU"/>
        </w:rPr>
        <w:t xml:space="preserve">. Системная работа в этом направлении начата, но, к сожалению, пока довольно далека от завершения, что объективно определяет </w:t>
      </w:r>
      <w:r w:rsidRPr="00FE0AD5">
        <w:rPr>
          <w:rFonts w:ascii="Times New Roman" w:eastAsia="Times New Roman" w:hAnsi="Times New Roman" w:cs="Times New Roman"/>
          <w:b/>
          <w:color w:val="000000"/>
          <w:sz w:val="28"/>
          <w:szCs w:val="28"/>
          <w:lang w:eastAsia="ru-RU"/>
        </w:rPr>
        <w:t xml:space="preserve">уязвимость едва ли не любых </w:t>
      </w:r>
      <w:r w:rsidR="00FE0AD5">
        <w:rPr>
          <w:rFonts w:ascii="Times New Roman" w:eastAsia="Times New Roman" w:hAnsi="Times New Roman" w:cs="Times New Roman"/>
          <w:b/>
          <w:color w:val="000000"/>
          <w:sz w:val="28"/>
          <w:szCs w:val="28"/>
          <w:lang w:eastAsia="ru-RU"/>
        </w:rPr>
        <w:t xml:space="preserve">вариантов </w:t>
      </w:r>
      <w:r w:rsidRPr="00FE0AD5">
        <w:rPr>
          <w:rFonts w:ascii="Times New Roman" w:eastAsia="Times New Roman" w:hAnsi="Times New Roman" w:cs="Times New Roman"/>
          <w:b/>
          <w:color w:val="000000"/>
          <w:sz w:val="28"/>
          <w:szCs w:val="28"/>
          <w:lang w:eastAsia="ru-RU"/>
        </w:rPr>
        <w:t>бюджетных проектировок</w:t>
      </w:r>
      <w:r w:rsidR="00EA67FB">
        <w:rPr>
          <w:rFonts w:ascii="Times New Roman" w:eastAsia="Times New Roman" w:hAnsi="Times New Roman" w:cs="Times New Roman"/>
          <w:color w:val="000000"/>
          <w:sz w:val="28"/>
          <w:szCs w:val="28"/>
          <w:lang w:eastAsia="ru-RU"/>
        </w:rPr>
        <w:t xml:space="preserve">. В данных обстоятельствах </w:t>
      </w:r>
      <w:r w:rsidRPr="00FE0AD5">
        <w:rPr>
          <w:rFonts w:ascii="Times New Roman" w:eastAsia="Times New Roman" w:hAnsi="Times New Roman" w:cs="Times New Roman"/>
          <w:b/>
          <w:color w:val="000000"/>
          <w:sz w:val="28"/>
          <w:szCs w:val="28"/>
          <w:lang w:eastAsia="ru-RU"/>
        </w:rPr>
        <w:t xml:space="preserve">трудно предложить </w:t>
      </w:r>
      <w:r w:rsidR="00FE0AD5" w:rsidRPr="00FE0AD5">
        <w:rPr>
          <w:rFonts w:ascii="Times New Roman" w:eastAsia="Times New Roman" w:hAnsi="Times New Roman" w:cs="Times New Roman"/>
          <w:b/>
          <w:color w:val="000000"/>
          <w:sz w:val="28"/>
          <w:szCs w:val="28"/>
          <w:lang w:eastAsia="ru-RU"/>
        </w:rPr>
        <w:t>вполне убедительную альтернативу основным параметрам бюджета, представленным в проекте</w:t>
      </w:r>
      <w:r w:rsidR="00FE0AD5">
        <w:rPr>
          <w:rFonts w:ascii="Times New Roman" w:eastAsia="Times New Roman" w:hAnsi="Times New Roman" w:cs="Times New Roman"/>
          <w:color w:val="000000"/>
          <w:sz w:val="28"/>
          <w:szCs w:val="28"/>
          <w:lang w:eastAsia="ru-RU"/>
        </w:rPr>
        <w:t xml:space="preserve">, </w:t>
      </w:r>
      <w:r w:rsidR="00EA67FB">
        <w:rPr>
          <w:rFonts w:ascii="Times New Roman" w:eastAsia="Times New Roman" w:hAnsi="Times New Roman" w:cs="Times New Roman"/>
          <w:color w:val="000000"/>
          <w:sz w:val="28"/>
          <w:szCs w:val="28"/>
          <w:lang w:eastAsia="ru-RU"/>
        </w:rPr>
        <w:t xml:space="preserve">в силу чего </w:t>
      </w:r>
      <w:r w:rsidR="00EA67FB" w:rsidRPr="00EA67FB">
        <w:rPr>
          <w:rFonts w:ascii="Times New Roman" w:eastAsia="Times New Roman" w:hAnsi="Times New Roman" w:cs="Times New Roman"/>
          <w:b/>
          <w:color w:val="000000"/>
          <w:sz w:val="28"/>
          <w:szCs w:val="28"/>
          <w:lang w:eastAsia="ru-RU"/>
        </w:rPr>
        <w:t>целесообразно одобрить проект в первом чтении</w:t>
      </w:r>
      <w:r w:rsidR="00EA67FB">
        <w:rPr>
          <w:rFonts w:ascii="Times New Roman" w:eastAsia="Times New Roman" w:hAnsi="Times New Roman" w:cs="Times New Roman"/>
          <w:color w:val="000000"/>
          <w:sz w:val="28"/>
          <w:szCs w:val="28"/>
          <w:lang w:eastAsia="ru-RU"/>
        </w:rPr>
        <w:t>. В то же время</w:t>
      </w:r>
      <w:r w:rsidR="00FE0AD5">
        <w:rPr>
          <w:rFonts w:ascii="Times New Roman" w:eastAsia="Times New Roman" w:hAnsi="Times New Roman" w:cs="Times New Roman"/>
          <w:color w:val="000000"/>
          <w:sz w:val="28"/>
          <w:szCs w:val="28"/>
          <w:lang w:eastAsia="ru-RU"/>
        </w:rPr>
        <w:t xml:space="preserve"> </w:t>
      </w:r>
      <w:r w:rsidR="00FE0AD5" w:rsidRPr="00EA67FB">
        <w:rPr>
          <w:rFonts w:ascii="Times New Roman" w:eastAsia="Times New Roman" w:hAnsi="Times New Roman" w:cs="Times New Roman"/>
          <w:b/>
          <w:color w:val="000000"/>
          <w:sz w:val="28"/>
          <w:szCs w:val="28"/>
          <w:lang w:eastAsia="ru-RU"/>
        </w:rPr>
        <w:t xml:space="preserve">очевидна </w:t>
      </w:r>
      <w:r w:rsidR="00FE0AD5" w:rsidRPr="00FE0AD5">
        <w:rPr>
          <w:rFonts w:ascii="Times New Roman" w:eastAsia="Times New Roman" w:hAnsi="Times New Roman" w:cs="Times New Roman"/>
          <w:b/>
          <w:color w:val="000000"/>
          <w:sz w:val="28"/>
          <w:szCs w:val="28"/>
          <w:lang w:eastAsia="ru-RU"/>
        </w:rPr>
        <w:t xml:space="preserve">необходимость существенно большего акцента на эффективность в ходе </w:t>
      </w:r>
      <w:r w:rsidR="00EA67FB">
        <w:rPr>
          <w:rFonts w:ascii="Times New Roman" w:eastAsia="Times New Roman" w:hAnsi="Times New Roman" w:cs="Times New Roman"/>
          <w:b/>
          <w:color w:val="000000"/>
          <w:sz w:val="28"/>
          <w:szCs w:val="28"/>
          <w:lang w:eastAsia="ru-RU"/>
        </w:rPr>
        <w:t xml:space="preserve">подготовки ко второму чтению, а также в процессе </w:t>
      </w:r>
      <w:r w:rsidR="00FE0AD5" w:rsidRPr="00FE0AD5">
        <w:rPr>
          <w:rFonts w:ascii="Times New Roman" w:eastAsia="Times New Roman" w:hAnsi="Times New Roman" w:cs="Times New Roman"/>
          <w:b/>
          <w:color w:val="000000"/>
          <w:sz w:val="28"/>
          <w:szCs w:val="28"/>
          <w:lang w:eastAsia="ru-RU"/>
        </w:rPr>
        <w:t xml:space="preserve">исполнения бюджета 2016 г. и при разработке проектов бюджета на </w:t>
      </w:r>
      <w:r w:rsidR="00FE0AD5">
        <w:rPr>
          <w:rFonts w:ascii="Times New Roman" w:eastAsia="Times New Roman" w:hAnsi="Times New Roman" w:cs="Times New Roman"/>
          <w:b/>
          <w:color w:val="000000"/>
          <w:sz w:val="28"/>
          <w:szCs w:val="28"/>
          <w:lang w:eastAsia="ru-RU"/>
        </w:rPr>
        <w:t xml:space="preserve">последующие </w:t>
      </w:r>
      <w:r w:rsidR="00FE0AD5" w:rsidRPr="00FE0AD5">
        <w:rPr>
          <w:rFonts w:ascii="Times New Roman" w:eastAsia="Times New Roman" w:hAnsi="Times New Roman" w:cs="Times New Roman"/>
          <w:b/>
          <w:color w:val="000000"/>
          <w:sz w:val="28"/>
          <w:szCs w:val="28"/>
          <w:lang w:eastAsia="ru-RU"/>
        </w:rPr>
        <w:t>период</w:t>
      </w:r>
      <w:r w:rsidR="00FE0AD5">
        <w:rPr>
          <w:rFonts w:ascii="Times New Roman" w:eastAsia="Times New Roman" w:hAnsi="Times New Roman" w:cs="Times New Roman"/>
          <w:b/>
          <w:color w:val="000000"/>
          <w:sz w:val="28"/>
          <w:szCs w:val="28"/>
          <w:lang w:eastAsia="ru-RU"/>
        </w:rPr>
        <w:t>ы</w:t>
      </w:r>
      <w:r w:rsidR="00FE0AD5">
        <w:rPr>
          <w:rFonts w:ascii="Times New Roman" w:eastAsia="Times New Roman" w:hAnsi="Times New Roman" w:cs="Times New Roman"/>
          <w:color w:val="000000"/>
          <w:sz w:val="28"/>
          <w:szCs w:val="28"/>
          <w:lang w:eastAsia="ru-RU"/>
        </w:rPr>
        <w:t xml:space="preserve">. </w:t>
      </w:r>
    </w:p>
    <w:p w14:paraId="0264DED9" w14:textId="77777777" w:rsidR="00F33E6A" w:rsidRDefault="00FE0AD5" w:rsidP="00FE0AD5">
      <w:pPr>
        <w:spacing w:line="312" w:lineRule="auto"/>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Среди наиболее заметных резервов можно указать, в частности, следующие. </w:t>
      </w:r>
    </w:p>
    <w:p w14:paraId="72C5D64A" w14:textId="77777777" w:rsidR="00F33E6A" w:rsidRPr="00502FF7" w:rsidRDefault="00F33E6A" w:rsidP="00F33E6A">
      <w:pPr>
        <w:spacing w:line="312" w:lineRule="auto"/>
        <w:ind w:firstLine="851"/>
        <w:jc w:val="both"/>
        <w:rPr>
          <w:rFonts w:ascii="Times New Roman" w:hAnsi="Times New Roman" w:cs="Times New Roman"/>
          <w:sz w:val="28"/>
          <w:szCs w:val="28"/>
        </w:rPr>
      </w:pPr>
      <w:r w:rsidRPr="00502FF7">
        <w:rPr>
          <w:rFonts w:ascii="Times New Roman" w:hAnsi="Times New Roman" w:cs="Times New Roman"/>
          <w:sz w:val="28"/>
          <w:szCs w:val="28"/>
        </w:rPr>
        <w:t xml:space="preserve">Во-первых, </w:t>
      </w:r>
      <w:r w:rsidR="00FE0AD5">
        <w:rPr>
          <w:rFonts w:ascii="Times New Roman" w:hAnsi="Times New Roman" w:cs="Times New Roman"/>
          <w:sz w:val="28"/>
          <w:szCs w:val="28"/>
        </w:rPr>
        <w:t xml:space="preserve">необходимо предельно тщательно проанализировать </w:t>
      </w:r>
      <w:r w:rsidRPr="00502FF7">
        <w:rPr>
          <w:rFonts w:ascii="Times New Roman" w:hAnsi="Times New Roman" w:cs="Times New Roman"/>
          <w:sz w:val="28"/>
          <w:szCs w:val="28"/>
        </w:rPr>
        <w:t xml:space="preserve">динамику и структуру расходов по Федеральным адресным инвестиционным программам. Отказ от части из них и перенос сроков завершения других </w:t>
      </w:r>
      <w:r w:rsidRPr="00502FF7">
        <w:rPr>
          <w:rFonts w:ascii="Times New Roman" w:hAnsi="Times New Roman" w:cs="Times New Roman"/>
          <w:b/>
          <w:sz w:val="28"/>
          <w:szCs w:val="28"/>
        </w:rPr>
        <w:t xml:space="preserve">может высвободить, по разным оценкам, от 200 до 300 </w:t>
      </w:r>
      <w:proofErr w:type="gramStart"/>
      <w:r w:rsidRPr="00502FF7">
        <w:rPr>
          <w:rFonts w:ascii="Times New Roman" w:hAnsi="Times New Roman" w:cs="Times New Roman"/>
          <w:b/>
          <w:sz w:val="28"/>
          <w:szCs w:val="28"/>
        </w:rPr>
        <w:t>млрд</w:t>
      </w:r>
      <w:proofErr w:type="gramEnd"/>
      <w:r w:rsidRPr="00502FF7">
        <w:rPr>
          <w:rFonts w:ascii="Times New Roman" w:hAnsi="Times New Roman" w:cs="Times New Roman"/>
          <w:b/>
          <w:sz w:val="28"/>
          <w:szCs w:val="28"/>
        </w:rPr>
        <w:t xml:space="preserve"> рублей</w:t>
      </w:r>
      <w:r w:rsidRPr="00502FF7">
        <w:rPr>
          <w:rFonts w:ascii="Times New Roman" w:hAnsi="Times New Roman" w:cs="Times New Roman"/>
          <w:sz w:val="28"/>
          <w:szCs w:val="28"/>
        </w:rPr>
        <w:t xml:space="preserve">. </w:t>
      </w:r>
      <w:r>
        <w:rPr>
          <w:rFonts w:ascii="Times New Roman" w:hAnsi="Times New Roman" w:cs="Times New Roman"/>
          <w:sz w:val="28"/>
          <w:szCs w:val="28"/>
        </w:rPr>
        <w:t xml:space="preserve">В первую очередь это касается средств, которые слабо осваиваются. Зачастую это происходит потому, что нет </w:t>
      </w:r>
      <w:r w:rsidRPr="008E4275">
        <w:rPr>
          <w:rFonts w:ascii="Times New Roman" w:hAnsi="Times New Roman" w:cs="Times New Roman"/>
          <w:b/>
          <w:sz w:val="28"/>
          <w:szCs w:val="28"/>
        </w:rPr>
        <w:t>либо подлинной надобности в проектах, на которые она ассигнованы, либо способности реализовать эти проекты в существующих обстоятельствах</w:t>
      </w:r>
      <w:r>
        <w:rPr>
          <w:rFonts w:ascii="Times New Roman" w:hAnsi="Times New Roman" w:cs="Times New Roman"/>
          <w:sz w:val="28"/>
          <w:szCs w:val="28"/>
        </w:rPr>
        <w:t xml:space="preserve">.  От таких проектов необходимо своевременно отказываться. </w:t>
      </w:r>
    </w:p>
    <w:p w14:paraId="2ABABC37" w14:textId="77777777" w:rsidR="00F33E6A" w:rsidRDefault="00F33E6A" w:rsidP="00F33E6A">
      <w:pPr>
        <w:spacing w:line="312" w:lineRule="auto"/>
        <w:ind w:firstLine="851"/>
        <w:jc w:val="both"/>
        <w:rPr>
          <w:rFonts w:ascii="Times New Roman" w:hAnsi="Times New Roman" w:cs="Times New Roman"/>
          <w:sz w:val="28"/>
          <w:szCs w:val="28"/>
        </w:rPr>
      </w:pPr>
      <w:r w:rsidRPr="00502FF7">
        <w:rPr>
          <w:rFonts w:ascii="Times New Roman" w:hAnsi="Times New Roman" w:cs="Times New Roman"/>
          <w:sz w:val="28"/>
          <w:szCs w:val="28"/>
        </w:rPr>
        <w:t xml:space="preserve">Во-вторых, </w:t>
      </w:r>
      <w:r w:rsidR="00FE0AD5">
        <w:rPr>
          <w:rFonts w:ascii="Times New Roman" w:hAnsi="Times New Roman" w:cs="Times New Roman"/>
          <w:sz w:val="28"/>
          <w:szCs w:val="28"/>
        </w:rPr>
        <w:t xml:space="preserve">привлекают внимание </w:t>
      </w:r>
      <w:r w:rsidRPr="00502FF7">
        <w:rPr>
          <w:rFonts w:ascii="Times New Roman" w:hAnsi="Times New Roman" w:cs="Times New Roman"/>
          <w:b/>
          <w:sz w:val="28"/>
          <w:szCs w:val="28"/>
        </w:rPr>
        <w:t>остатк</w:t>
      </w:r>
      <w:r w:rsidR="00FE0AD5">
        <w:rPr>
          <w:rFonts w:ascii="Times New Roman" w:hAnsi="Times New Roman" w:cs="Times New Roman"/>
          <w:b/>
          <w:sz w:val="28"/>
          <w:szCs w:val="28"/>
        </w:rPr>
        <w:t>и</w:t>
      </w:r>
      <w:r w:rsidRPr="00502FF7">
        <w:rPr>
          <w:rFonts w:ascii="Times New Roman" w:hAnsi="Times New Roman" w:cs="Times New Roman"/>
          <w:b/>
          <w:sz w:val="28"/>
          <w:szCs w:val="28"/>
        </w:rPr>
        <w:t xml:space="preserve"> бюджетных средств на счетах госкомпаний и подрядчиков, занятых в реализации крупных инфраструктурных проектов</w:t>
      </w:r>
      <w:r w:rsidRPr="00502FF7">
        <w:rPr>
          <w:rFonts w:ascii="Times New Roman" w:hAnsi="Times New Roman" w:cs="Times New Roman"/>
          <w:sz w:val="28"/>
          <w:szCs w:val="28"/>
        </w:rPr>
        <w:t xml:space="preserve">. </w:t>
      </w:r>
      <w:r w:rsidR="00D90E13">
        <w:rPr>
          <w:rFonts w:ascii="Times New Roman" w:hAnsi="Times New Roman" w:cs="Times New Roman"/>
          <w:sz w:val="28"/>
          <w:szCs w:val="28"/>
        </w:rPr>
        <w:t xml:space="preserve">Зачастую эти остатки в течение длительного времени остаются на депозитах. В таких случаях их </w:t>
      </w:r>
      <w:r w:rsidRPr="00502FF7">
        <w:rPr>
          <w:rFonts w:ascii="Times New Roman" w:hAnsi="Times New Roman" w:cs="Times New Roman"/>
          <w:sz w:val="28"/>
          <w:szCs w:val="28"/>
        </w:rPr>
        <w:t>следует</w:t>
      </w:r>
      <w:r w:rsidRPr="008E4275">
        <w:rPr>
          <w:rFonts w:ascii="Times New Roman" w:hAnsi="Times New Roman" w:cs="Times New Roman"/>
          <w:b/>
          <w:sz w:val="28"/>
          <w:szCs w:val="28"/>
        </w:rPr>
        <w:t xml:space="preserve"> </w:t>
      </w:r>
      <w:r w:rsidR="00D90E13">
        <w:rPr>
          <w:rFonts w:ascii="Times New Roman" w:hAnsi="Times New Roman" w:cs="Times New Roman"/>
          <w:b/>
          <w:sz w:val="28"/>
          <w:szCs w:val="28"/>
        </w:rPr>
        <w:t xml:space="preserve">возвращать </w:t>
      </w:r>
      <w:r w:rsidRPr="008E4275">
        <w:rPr>
          <w:rFonts w:ascii="Times New Roman" w:hAnsi="Times New Roman" w:cs="Times New Roman"/>
          <w:b/>
          <w:sz w:val="28"/>
          <w:szCs w:val="28"/>
        </w:rPr>
        <w:t xml:space="preserve">в </w:t>
      </w:r>
      <w:r w:rsidRPr="008E4275">
        <w:rPr>
          <w:rFonts w:ascii="Times New Roman" w:hAnsi="Times New Roman" w:cs="Times New Roman"/>
          <w:b/>
          <w:sz w:val="28"/>
          <w:szCs w:val="28"/>
        </w:rPr>
        <w:lastRenderedPageBreak/>
        <w:t>бюджетную систему</w:t>
      </w:r>
      <w:r w:rsidR="00D90E13">
        <w:rPr>
          <w:rFonts w:ascii="Times New Roman" w:hAnsi="Times New Roman" w:cs="Times New Roman"/>
          <w:b/>
          <w:sz w:val="28"/>
          <w:szCs w:val="28"/>
        </w:rPr>
        <w:t xml:space="preserve">, направляя </w:t>
      </w:r>
      <w:r w:rsidRPr="008E4275">
        <w:rPr>
          <w:rFonts w:ascii="Times New Roman" w:hAnsi="Times New Roman" w:cs="Times New Roman"/>
          <w:b/>
          <w:sz w:val="28"/>
          <w:szCs w:val="28"/>
        </w:rPr>
        <w:t>туда, где они действительно нужны</w:t>
      </w:r>
      <w:r w:rsidRPr="00502FF7">
        <w:rPr>
          <w:rFonts w:ascii="Times New Roman" w:hAnsi="Times New Roman" w:cs="Times New Roman"/>
          <w:sz w:val="28"/>
          <w:szCs w:val="28"/>
        </w:rPr>
        <w:t xml:space="preserve">. </w:t>
      </w:r>
      <w:r w:rsidR="00D90E13">
        <w:rPr>
          <w:rFonts w:ascii="Times New Roman" w:hAnsi="Times New Roman" w:cs="Times New Roman"/>
          <w:sz w:val="28"/>
          <w:szCs w:val="28"/>
        </w:rPr>
        <w:t xml:space="preserve">В </w:t>
      </w:r>
      <w:r w:rsidRPr="00502FF7">
        <w:rPr>
          <w:rFonts w:ascii="Times New Roman" w:hAnsi="Times New Roman" w:cs="Times New Roman"/>
          <w:sz w:val="28"/>
          <w:szCs w:val="28"/>
        </w:rPr>
        <w:t>2008-</w:t>
      </w:r>
      <w:r w:rsidR="00D90E13">
        <w:rPr>
          <w:rFonts w:ascii="Times New Roman" w:hAnsi="Times New Roman" w:cs="Times New Roman"/>
          <w:sz w:val="28"/>
          <w:szCs w:val="28"/>
        </w:rPr>
        <w:t>20</w:t>
      </w:r>
      <w:r w:rsidRPr="00502FF7">
        <w:rPr>
          <w:rFonts w:ascii="Times New Roman" w:hAnsi="Times New Roman" w:cs="Times New Roman"/>
          <w:sz w:val="28"/>
          <w:szCs w:val="28"/>
        </w:rPr>
        <w:t>09 годах Правительство прибегло к подобным мерам</w:t>
      </w:r>
      <w:r>
        <w:rPr>
          <w:rFonts w:ascii="Times New Roman" w:hAnsi="Times New Roman" w:cs="Times New Roman"/>
          <w:sz w:val="28"/>
          <w:szCs w:val="28"/>
        </w:rPr>
        <w:t>,</w:t>
      </w:r>
      <w:r w:rsidRPr="00502FF7">
        <w:rPr>
          <w:rFonts w:ascii="Times New Roman" w:hAnsi="Times New Roman" w:cs="Times New Roman"/>
          <w:sz w:val="28"/>
          <w:szCs w:val="28"/>
        </w:rPr>
        <w:t xml:space="preserve"> и они оказались весьма эффективны. </w:t>
      </w:r>
    </w:p>
    <w:p w14:paraId="58D3409A" w14:textId="77777777" w:rsidR="00F33E6A" w:rsidRDefault="00F33E6A" w:rsidP="00F33E6A">
      <w:pPr>
        <w:spacing w:line="312"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В-третьих, необходимо настойчиво </w:t>
      </w:r>
      <w:r w:rsidRPr="00322119">
        <w:rPr>
          <w:rFonts w:ascii="Times New Roman" w:hAnsi="Times New Roman" w:cs="Times New Roman"/>
          <w:b/>
          <w:sz w:val="28"/>
          <w:szCs w:val="28"/>
        </w:rPr>
        <w:t xml:space="preserve">улучшать структуру расходов в каждой из отраслей, включая </w:t>
      </w:r>
      <w:proofErr w:type="gramStart"/>
      <w:r w:rsidRPr="00322119">
        <w:rPr>
          <w:rFonts w:ascii="Times New Roman" w:hAnsi="Times New Roman" w:cs="Times New Roman"/>
          <w:b/>
          <w:sz w:val="28"/>
          <w:szCs w:val="28"/>
        </w:rPr>
        <w:t>приоритетные</w:t>
      </w:r>
      <w:proofErr w:type="gramEnd"/>
      <w:r w:rsidR="00D90E13">
        <w:rPr>
          <w:rFonts w:ascii="Times New Roman" w:hAnsi="Times New Roman" w:cs="Times New Roman"/>
          <w:sz w:val="28"/>
          <w:szCs w:val="28"/>
        </w:rPr>
        <w:t>, формирующие</w:t>
      </w:r>
      <w:r>
        <w:rPr>
          <w:rFonts w:ascii="Times New Roman" w:hAnsi="Times New Roman" w:cs="Times New Roman"/>
          <w:sz w:val="28"/>
          <w:szCs w:val="28"/>
        </w:rPr>
        <w:t xml:space="preserve"> человеческий капитал. </w:t>
      </w:r>
      <w:r w:rsidR="00D90E13" w:rsidRPr="00D90E13">
        <w:rPr>
          <w:rFonts w:ascii="Times New Roman" w:hAnsi="Times New Roman" w:cs="Times New Roman"/>
          <w:b/>
          <w:sz w:val="28"/>
          <w:szCs w:val="28"/>
        </w:rPr>
        <w:t xml:space="preserve">В каждой из этих отраслей </w:t>
      </w:r>
      <w:r w:rsidRPr="00322119">
        <w:rPr>
          <w:rFonts w:ascii="Times New Roman" w:hAnsi="Times New Roman" w:cs="Times New Roman"/>
          <w:b/>
          <w:sz w:val="28"/>
          <w:szCs w:val="28"/>
        </w:rPr>
        <w:t xml:space="preserve">наряду с нехваткой средств </w:t>
      </w:r>
      <w:r w:rsidR="00D90E13">
        <w:rPr>
          <w:rFonts w:ascii="Times New Roman" w:hAnsi="Times New Roman" w:cs="Times New Roman"/>
          <w:b/>
          <w:sz w:val="28"/>
          <w:szCs w:val="28"/>
        </w:rPr>
        <w:t xml:space="preserve">существуют довольно широкие зоны </w:t>
      </w:r>
      <w:r w:rsidRPr="00322119">
        <w:rPr>
          <w:rFonts w:ascii="Times New Roman" w:hAnsi="Times New Roman" w:cs="Times New Roman"/>
          <w:b/>
          <w:sz w:val="28"/>
          <w:szCs w:val="28"/>
        </w:rPr>
        <w:t>неэффективн</w:t>
      </w:r>
      <w:r w:rsidR="00D90E13">
        <w:rPr>
          <w:rFonts w:ascii="Times New Roman" w:hAnsi="Times New Roman" w:cs="Times New Roman"/>
          <w:b/>
          <w:sz w:val="28"/>
          <w:szCs w:val="28"/>
        </w:rPr>
        <w:t>ости</w:t>
      </w:r>
      <w:r w:rsidRPr="00322119">
        <w:rPr>
          <w:rFonts w:ascii="Times New Roman" w:hAnsi="Times New Roman" w:cs="Times New Roman"/>
          <w:b/>
          <w:sz w:val="28"/>
          <w:szCs w:val="28"/>
        </w:rPr>
        <w:t>.</w:t>
      </w:r>
      <w:r>
        <w:rPr>
          <w:rFonts w:ascii="Times New Roman" w:hAnsi="Times New Roman" w:cs="Times New Roman"/>
          <w:sz w:val="28"/>
          <w:szCs w:val="28"/>
        </w:rPr>
        <w:t xml:space="preserve"> Например, </w:t>
      </w:r>
      <w:r w:rsidRPr="00322119">
        <w:rPr>
          <w:rFonts w:ascii="Times New Roman" w:hAnsi="Times New Roman" w:cs="Times New Roman"/>
          <w:b/>
          <w:sz w:val="28"/>
          <w:szCs w:val="28"/>
        </w:rPr>
        <w:t>на деньги бюджета все еще функционируют «фабрики дипломов» с вывескам</w:t>
      </w:r>
      <w:r w:rsidR="00D90E13">
        <w:rPr>
          <w:rFonts w:ascii="Times New Roman" w:hAnsi="Times New Roman" w:cs="Times New Roman"/>
          <w:b/>
          <w:sz w:val="28"/>
          <w:szCs w:val="28"/>
        </w:rPr>
        <w:t>и</w:t>
      </w:r>
      <w:r w:rsidRPr="00322119">
        <w:rPr>
          <w:rFonts w:ascii="Times New Roman" w:hAnsi="Times New Roman" w:cs="Times New Roman"/>
          <w:b/>
          <w:sz w:val="28"/>
          <w:szCs w:val="28"/>
        </w:rPr>
        <w:t xml:space="preserve"> вузов.</w:t>
      </w:r>
      <w:r>
        <w:rPr>
          <w:rFonts w:ascii="Times New Roman" w:hAnsi="Times New Roman" w:cs="Times New Roman"/>
          <w:sz w:val="28"/>
          <w:szCs w:val="28"/>
        </w:rPr>
        <w:t xml:space="preserve"> Имею</w:t>
      </w:r>
      <w:r w:rsidR="00D90E13">
        <w:rPr>
          <w:rFonts w:ascii="Times New Roman" w:hAnsi="Times New Roman" w:cs="Times New Roman"/>
          <w:sz w:val="28"/>
          <w:szCs w:val="28"/>
        </w:rPr>
        <w:t>тся</w:t>
      </w:r>
      <w:r>
        <w:rPr>
          <w:rFonts w:ascii="Times New Roman" w:hAnsi="Times New Roman" w:cs="Times New Roman"/>
          <w:sz w:val="28"/>
          <w:szCs w:val="28"/>
        </w:rPr>
        <w:t xml:space="preserve"> в виду те учреждения, </w:t>
      </w:r>
      <w:proofErr w:type="gramStart"/>
      <w:r>
        <w:rPr>
          <w:rFonts w:ascii="Times New Roman" w:hAnsi="Times New Roman" w:cs="Times New Roman"/>
          <w:sz w:val="28"/>
          <w:szCs w:val="28"/>
        </w:rPr>
        <w:t>которые</w:t>
      </w:r>
      <w:proofErr w:type="gramEnd"/>
      <w:r>
        <w:rPr>
          <w:rFonts w:ascii="Times New Roman" w:hAnsi="Times New Roman" w:cs="Times New Roman"/>
          <w:sz w:val="28"/>
          <w:szCs w:val="28"/>
        </w:rPr>
        <w:t xml:space="preserve"> по сути имитируют образовательный процесс. Нечто подобное встречается и в других отраслях. </w:t>
      </w:r>
    </w:p>
    <w:p w14:paraId="07D75D8F" w14:textId="46E6E25D" w:rsidR="00EA67FB" w:rsidRDefault="00EA67FB" w:rsidP="00F33E6A">
      <w:pPr>
        <w:spacing w:line="312"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Оценки этих и ряда других резервов будут представлены экспертами НИУ ВШЭ ко второму чтению проекта закона о Федеральном бюджете на 2016 год. </w:t>
      </w:r>
    </w:p>
    <w:p w14:paraId="3B623DBF" w14:textId="77777777" w:rsidR="00F33E6A" w:rsidRPr="00F33E6A" w:rsidRDefault="00F33E6A" w:rsidP="00F33E6A">
      <w:pPr>
        <w:spacing w:after="0"/>
        <w:jc w:val="both"/>
        <w:rPr>
          <w:rFonts w:ascii="Times New Roman" w:eastAsia="Times New Roman" w:hAnsi="Times New Roman" w:cs="Times New Roman"/>
          <w:b/>
          <w:color w:val="000000"/>
          <w:sz w:val="26"/>
          <w:szCs w:val="26"/>
          <w:lang w:eastAsia="ru-RU"/>
        </w:rPr>
      </w:pPr>
    </w:p>
    <w:p w14:paraId="42E78E25" w14:textId="77777777" w:rsidR="001B608A" w:rsidRPr="004E33B9" w:rsidRDefault="001B608A" w:rsidP="004E33B9">
      <w:pPr>
        <w:ind w:firstLine="709"/>
        <w:jc w:val="center"/>
        <w:rPr>
          <w:rFonts w:ascii="Times New Roman" w:hAnsi="Times New Roman" w:cs="Times New Roman"/>
        </w:rPr>
      </w:pPr>
    </w:p>
    <w:sectPr w:rsidR="001B608A" w:rsidRPr="004E33B9" w:rsidSect="003C50FF">
      <w:footerReference w:type="default" r:id="rId12"/>
      <w:pgSz w:w="11906" w:h="16838"/>
      <w:pgMar w:top="851"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D3726" w14:textId="77777777" w:rsidR="00A57513" w:rsidRDefault="00A57513" w:rsidP="006D6ADE">
      <w:pPr>
        <w:spacing w:after="0" w:line="240" w:lineRule="auto"/>
      </w:pPr>
      <w:r>
        <w:separator/>
      </w:r>
    </w:p>
  </w:endnote>
  <w:endnote w:type="continuationSeparator" w:id="0">
    <w:p w14:paraId="425CCBB8" w14:textId="77777777" w:rsidR="00A57513" w:rsidRDefault="00A57513" w:rsidP="006D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269674"/>
      <w:docPartObj>
        <w:docPartGallery w:val="Page Numbers (Bottom of Page)"/>
        <w:docPartUnique/>
      </w:docPartObj>
    </w:sdtPr>
    <w:sdtEndPr>
      <w:rPr>
        <w:rFonts w:ascii="Times New Roman" w:hAnsi="Times New Roman" w:cs="Times New Roman"/>
      </w:rPr>
    </w:sdtEndPr>
    <w:sdtContent>
      <w:p w14:paraId="7E633A9D" w14:textId="77777777" w:rsidR="00AF199C" w:rsidRPr="00FF7754" w:rsidRDefault="00AF199C" w:rsidP="00AC385D">
        <w:pPr>
          <w:pStyle w:val="ab"/>
          <w:jc w:val="right"/>
          <w:rPr>
            <w:rFonts w:ascii="Times New Roman" w:hAnsi="Times New Roman" w:cs="Times New Roman"/>
          </w:rPr>
        </w:pPr>
        <w:r w:rsidRPr="00FF7754">
          <w:rPr>
            <w:rFonts w:ascii="Times New Roman" w:hAnsi="Times New Roman" w:cs="Times New Roman"/>
          </w:rPr>
          <w:fldChar w:fldCharType="begin"/>
        </w:r>
        <w:r w:rsidRPr="00FF7754">
          <w:rPr>
            <w:rFonts w:ascii="Times New Roman" w:hAnsi="Times New Roman" w:cs="Times New Roman"/>
          </w:rPr>
          <w:instrText>PAGE   \* MERGEFORMAT</w:instrText>
        </w:r>
        <w:r w:rsidRPr="00FF7754">
          <w:rPr>
            <w:rFonts w:ascii="Times New Roman" w:hAnsi="Times New Roman" w:cs="Times New Roman"/>
          </w:rPr>
          <w:fldChar w:fldCharType="separate"/>
        </w:r>
        <w:r w:rsidR="003C50FF">
          <w:rPr>
            <w:rFonts w:ascii="Times New Roman" w:hAnsi="Times New Roman" w:cs="Times New Roman"/>
            <w:noProof/>
          </w:rPr>
          <w:t>3</w:t>
        </w:r>
        <w:r w:rsidRPr="00FF7754">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0ABA6" w14:textId="77777777" w:rsidR="00A57513" w:rsidRDefault="00A57513" w:rsidP="006D6ADE">
      <w:pPr>
        <w:spacing w:after="0" w:line="240" w:lineRule="auto"/>
      </w:pPr>
      <w:r>
        <w:separator/>
      </w:r>
    </w:p>
  </w:footnote>
  <w:footnote w:type="continuationSeparator" w:id="0">
    <w:p w14:paraId="07224D04" w14:textId="77777777" w:rsidR="00A57513" w:rsidRDefault="00A57513" w:rsidP="006D6ADE">
      <w:pPr>
        <w:spacing w:after="0" w:line="240" w:lineRule="auto"/>
      </w:pPr>
      <w:r>
        <w:continuationSeparator/>
      </w:r>
    </w:p>
  </w:footnote>
  <w:footnote w:id="1">
    <w:p w14:paraId="27DE2F6A" w14:textId="77777777" w:rsidR="00AF199C" w:rsidRPr="002A12F5" w:rsidRDefault="00AF199C" w:rsidP="002A12F5">
      <w:pPr>
        <w:pStyle w:val="a4"/>
        <w:ind w:right="-1"/>
        <w:rPr>
          <w:rFonts w:ascii="Times New Roman" w:hAnsi="Times New Roman" w:cs="Times New Roman"/>
          <w:sz w:val="20"/>
          <w:szCs w:val="20"/>
        </w:rPr>
      </w:pPr>
      <w:r w:rsidRPr="002A12F5">
        <w:rPr>
          <w:rStyle w:val="a3"/>
          <w:rFonts w:ascii="Times New Roman" w:hAnsi="Times New Roman"/>
        </w:rPr>
        <w:footnoteRef/>
      </w:r>
      <w:r w:rsidRPr="002A12F5">
        <w:rPr>
          <w:rFonts w:ascii="Times New Roman" w:hAnsi="Times New Roman" w:cs="Times New Roman"/>
          <w:lang w:val="en-US"/>
        </w:rPr>
        <w:t xml:space="preserve"> </w:t>
      </w:r>
      <w:proofErr w:type="gramStart"/>
      <w:r w:rsidRPr="002A12F5">
        <w:rPr>
          <w:rFonts w:ascii="Times New Roman" w:hAnsi="Times New Roman" w:cs="Times New Roman"/>
          <w:sz w:val="20"/>
          <w:szCs w:val="20"/>
        </w:rPr>
        <w:t>См</w:t>
      </w:r>
      <w:proofErr w:type="gramEnd"/>
      <w:r w:rsidRPr="002A12F5">
        <w:rPr>
          <w:rFonts w:ascii="Times New Roman" w:hAnsi="Times New Roman" w:cs="Times New Roman"/>
          <w:sz w:val="20"/>
          <w:szCs w:val="20"/>
          <w:lang w:val="en-US"/>
        </w:rPr>
        <w:t xml:space="preserve">, </w:t>
      </w:r>
      <w:r w:rsidRPr="002A12F5">
        <w:rPr>
          <w:rFonts w:ascii="Times New Roman" w:hAnsi="Times New Roman" w:cs="Times New Roman"/>
          <w:sz w:val="20"/>
          <w:szCs w:val="20"/>
        </w:rPr>
        <w:t>например</w:t>
      </w:r>
      <w:r w:rsidRPr="002A12F5">
        <w:rPr>
          <w:rFonts w:ascii="Times New Roman" w:hAnsi="Times New Roman" w:cs="Times New Roman"/>
          <w:sz w:val="20"/>
          <w:szCs w:val="20"/>
          <w:lang w:val="en-US"/>
        </w:rPr>
        <w:t xml:space="preserve">, Economic crisis, health systems and health in Europe: impact and implications for policy. </w:t>
      </w:r>
      <w:proofErr w:type="gramStart"/>
      <w:r w:rsidRPr="002A12F5">
        <w:rPr>
          <w:rFonts w:ascii="Times New Roman" w:hAnsi="Times New Roman" w:cs="Times New Roman"/>
          <w:sz w:val="20"/>
          <w:szCs w:val="20"/>
          <w:lang w:val="en-US"/>
        </w:rPr>
        <w:t>World</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Health</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Organization</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Regional</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Office</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for</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Europe</w:t>
      </w:r>
      <w:r w:rsidRPr="002A12F5">
        <w:rPr>
          <w:rFonts w:ascii="Times New Roman" w:hAnsi="Times New Roman" w:cs="Times New Roman"/>
          <w:sz w:val="20"/>
          <w:szCs w:val="20"/>
        </w:rPr>
        <w:t>.</w:t>
      </w:r>
      <w:proofErr w:type="gramEnd"/>
      <w:r w:rsidRPr="002A12F5">
        <w:rPr>
          <w:rFonts w:ascii="Times New Roman" w:hAnsi="Times New Roman" w:cs="Times New Roman"/>
          <w:sz w:val="20"/>
          <w:szCs w:val="20"/>
        </w:rPr>
        <w:t xml:space="preserve"> </w:t>
      </w:r>
      <w:proofErr w:type="gramStart"/>
      <w:r w:rsidRPr="002A12F5">
        <w:rPr>
          <w:rFonts w:ascii="Times New Roman" w:hAnsi="Times New Roman" w:cs="Times New Roman"/>
          <w:sz w:val="20"/>
          <w:szCs w:val="20"/>
          <w:lang w:val="en-US"/>
        </w:rPr>
        <w:t>Policy</w:t>
      </w:r>
      <w:r w:rsidRPr="002A12F5">
        <w:rPr>
          <w:rFonts w:ascii="Times New Roman" w:hAnsi="Times New Roman" w:cs="Times New Roman"/>
          <w:sz w:val="20"/>
          <w:szCs w:val="20"/>
        </w:rPr>
        <w:t xml:space="preserve"> </w:t>
      </w:r>
      <w:r w:rsidRPr="002A12F5">
        <w:rPr>
          <w:rFonts w:ascii="Times New Roman" w:hAnsi="Times New Roman" w:cs="Times New Roman"/>
          <w:sz w:val="20"/>
          <w:szCs w:val="20"/>
          <w:lang w:val="en-US"/>
        </w:rPr>
        <w:t>Summary</w:t>
      </w:r>
      <w:r w:rsidRPr="002A12F5">
        <w:rPr>
          <w:rFonts w:ascii="Times New Roman" w:hAnsi="Times New Roman" w:cs="Times New Roman"/>
          <w:sz w:val="20"/>
          <w:szCs w:val="20"/>
        </w:rPr>
        <w:t>, 2014.</w:t>
      </w:r>
      <w:proofErr w:type="gramEnd"/>
    </w:p>
  </w:footnote>
  <w:footnote w:id="2">
    <w:p w14:paraId="11CDC529" w14:textId="77777777" w:rsidR="00AF199C" w:rsidRPr="002A12F5" w:rsidRDefault="00AF199C" w:rsidP="001B608A">
      <w:pPr>
        <w:pStyle w:val="a4"/>
        <w:ind w:right="-1"/>
        <w:rPr>
          <w:rFonts w:ascii="Times New Roman" w:hAnsi="Times New Roman" w:cs="Times New Roman"/>
          <w:sz w:val="20"/>
          <w:szCs w:val="20"/>
        </w:rPr>
      </w:pPr>
      <w:r>
        <w:rPr>
          <w:rStyle w:val="a3"/>
        </w:rPr>
        <w:footnoteRef/>
      </w:r>
      <w:r>
        <w:t xml:space="preserve"> </w:t>
      </w:r>
      <w:r w:rsidRPr="002A12F5">
        <w:rPr>
          <w:rFonts w:ascii="Times New Roman" w:hAnsi="Times New Roman" w:cs="Times New Roman"/>
          <w:sz w:val="20"/>
          <w:szCs w:val="20"/>
        </w:rPr>
        <w:t>Вплоть до 2014 г. наблюдался заметный рост практически всех статей бюджета, связанных с наукой; доля затрат на гражданскую науку в федеральном бюджете приблизилось к 3%, а в 2013 г. превысили этот уровень.</w:t>
      </w:r>
    </w:p>
  </w:footnote>
  <w:footnote w:id="3">
    <w:p w14:paraId="1E116C98" w14:textId="77777777" w:rsidR="00AF199C" w:rsidRPr="00D15CAC" w:rsidRDefault="00AF199C" w:rsidP="001B608A">
      <w:pPr>
        <w:pStyle w:val="a4"/>
        <w:ind w:right="-1"/>
        <w:rPr>
          <w:rFonts w:ascii="Times New Roman" w:hAnsi="Times New Roman" w:cs="Times New Roman"/>
        </w:rPr>
      </w:pPr>
      <w:r w:rsidRPr="002A12F5">
        <w:rPr>
          <w:rStyle w:val="a3"/>
          <w:rFonts w:ascii="Times New Roman" w:hAnsi="Times New Roman"/>
          <w:sz w:val="20"/>
          <w:szCs w:val="20"/>
        </w:rPr>
        <w:footnoteRef/>
      </w:r>
      <w:r w:rsidRPr="002A12F5">
        <w:rPr>
          <w:rFonts w:ascii="Times New Roman" w:hAnsi="Times New Roman" w:cs="Times New Roman"/>
          <w:sz w:val="20"/>
          <w:szCs w:val="20"/>
        </w:rPr>
        <w:t xml:space="preserve"> В федеральном законе «О федеральном бюджете на 2016 г.» по сравнению с федеральным законом «О федеральном бюджете на 2016 год и плановый период 2016 и 2017 годов».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53FD9"/>
    <w:multiLevelType w:val="hybridMultilevel"/>
    <w:tmpl w:val="C41E68E0"/>
    <w:lvl w:ilvl="0" w:tplc="B23E6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C6"/>
    <w:rsid w:val="0000779B"/>
    <w:rsid w:val="00011B2A"/>
    <w:rsid w:val="0001224F"/>
    <w:rsid w:val="00015764"/>
    <w:rsid w:val="00016BF8"/>
    <w:rsid w:val="000206B0"/>
    <w:rsid w:val="0002169A"/>
    <w:rsid w:val="00025DEE"/>
    <w:rsid w:val="000275A9"/>
    <w:rsid w:val="00031461"/>
    <w:rsid w:val="00032BDC"/>
    <w:rsid w:val="0004667D"/>
    <w:rsid w:val="00050697"/>
    <w:rsid w:val="000507F1"/>
    <w:rsid w:val="000575E6"/>
    <w:rsid w:val="00063DBE"/>
    <w:rsid w:val="00065A45"/>
    <w:rsid w:val="00070680"/>
    <w:rsid w:val="00076D3A"/>
    <w:rsid w:val="000773F9"/>
    <w:rsid w:val="000805C6"/>
    <w:rsid w:val="000807E3"/>
    <w:rsid w:val="00082AD1"/>
    <w:rsid w:val="00090A9F"/>
    <w:rsid w:val="00091613"/>
    <w:rsid w:val="00093BF8"/>
    <w:rsid w:val="00095383"/>
    <w:rsid w:val="000A094E"/>
    <w:rsid w:val="000A0D8F"/>
    <w:rsid w:val="000A218D"/>
    <w:rsid w:val="000A32ED"/>
    <w:rsid w:val="000A7584"/>
    <w:rsid w:val="000B62D3"/>
    <w:rsid w:val="000C1BE1"/>
    <w:rsid w:val="000C2806"/>
    <w:rsid w:val="000C28A7"/>
    <w:rsid w:val="000C4D04"/>
    <w:rsid w:val="000C699F"/>
    <w:rsid w:val="000D031B"/>
    <w:rsid w:val="000D07F1"/>
    <w:rsid w:val="000D1057"/>
    <w:rsid w:val="000D287D"/>
    <w:rsid w:val="000D6C83"/>
    <w:rsid w:val="000E1F8C"/>
    <w:rsid w:val="000E34AA"/>
    <w:rsid w:val="000E3AB2"/>
    <w:rsid w:val="000E78AE"/>
    <w:rsid w:val="000F4377"/>
    <w:rsid w:val="000F4E28"/>
    <w:rsid w:val="001036E6"/>
    <w:rsid w:val="0010563B"/>
    <w:rsid w:val="001106ED"/>
    <w:rsid w:val="00110C76"/>
    <w:rsid w:val="00113B94"/>
    <w:rsid w:val="001156AE"/>
    <w:rsid w:val="0011711F"/>
    <w:rsid w:val="00117302"/>
    <w:rsid w:val="00121120"/>
    <w:rsid w:val="0012271C"/>
    <w:rsid w:val="001251B2"/>
    <w:rsid w:val="001251F5"/>
    <w:rsid w:val="00131CB8"/>
    <w:rsid w:val="001329DE"/>
    <w:rsid w:val="00140FD8"/>
    <w:rsid w:val="00144227"/>
    <w:rsid w:val="001464E9"/>
    <w:rsid w:val="00150416"/>
    <w:rsid w:val="001546E3"/>
    <w:rsid w:val="00155692"/>
    <w:rsid w:val="00162826"/>
    <w:rsid w:val="00163B8A"/>
    <w:rsid w:val="00171AB1"/>
    <w:rsid w:val="00173648"/>
    <w:rsid w:val="00174128"/>
    <w:rsid w:val="0017479F"/>
    <w:rsid w:val="00182A49"/>
    <w:rsid w:val="00184089"/>
    <w:rsid w:val="00184714"/>
    <w:rsid w:val="0018512A"/>
    <w:rsid w:val="001876D0"/>
    <w:rsid w:val="00196E51"/>
    <w:rsid w:val="00197A8C"/>
    <w:rsid w:val="001A012C"/>
    <w:rsid w:val="001A042A"/>
    <w:rsid w:val="001A0541"/>
    <w:rsid w:val="001A1E8A"/>
    <w:rsid w:val="001A62A1"/>
    <w:rsid w:val="001A76BF"/>
    <w:rsid w:val="001B4A87"/>
    <w:rsid w:val="001B608A"/>
    <w:rsid w:val="001C053E"/>
    <w:rsid w:val="001C1AB6"/>
    <w:rsid w:val="001C46FE"/>
    <w:rsid w:val="001C5DCC"/>
    <w:rsid w:val="001D19D4"/>
    <w:rsid w:val="001D2824"/>
    <w:rsid w:val="001D3DCF"/>
    <w:rsid w:val="001D4455"/>
    <w:rsid w:val="001D4F72"/>
    <w:rsid w:val="001D61E9"/>
    <w:rsid w:val="001D785B"/>
    <w:rsid w:val="001E2892"/>
    <w:rsid w:val="001E382C"/>
    <w:rsid w:val="001E7620"/>
    <w:rsid w:val="001E7EC6"/>
    <w:rsid w:val="001F25AB"/>
    <w:rsid w:val="001F4C6A"/>
    <w:rsid w:val="001F6DB4"/>
    <w:rsid w:val="00201B09"/>
    <w:rsid w:val="002027A2"/>
    <w:rsid w:val="00203592"/>
    <w:rsid w:val="002052B1"/>
    <w:rsid w:val="00205640"/>
    <w:rsid w:val="00205A8D"/>
    <w:rsid w:val="0020671F"/>
    <w:rsid w:val="00210D60"/>
    <w:rsid w:val="00211A41"/>
    <w:rsid w:val="002124BF"/>
    <w:rsid w:val="00215359"/>
    <w:rsid w:val="00220118"/>
    <w:rsid w:val="00224BCD"/>
    <w:rsid w:val="00227BAF"/>
    <w:rsid w:val="0023248F"/>
    <w:rsid w:val="00233689"/>
    <w:rsid w:val="0024377B"/>
    <w:rsid w:val="002442E2"/>
    <w:rsid w:val="0024752C"/>
    <w:rsid w:val="002508BB"/>
    <w:rsid w:val="00253238"/>
    <w:rsid w:val="00257BFC"/>
    <w:rsid w:val="00262B72"/>
    <w:rsid w:val="002646D7"/>
    <w:rsid w:val="00272E7A"/>
    <w:rsid w:val="00273679"/>
    <w:rsid w:val="00274F1C"/>
    <w:rsid w:val="00280225"/>
    <w:rsid w:val="00280844"/>
    <w:rsid w:val="0028224E"/>
    <w:rsid w:val="00284D08"/>
    <w:rsid w:val="00285C35"/>
    <w:rsid w:val="00286F47"/>
    <w:rsid w:val="002911DB"/>
    <w:rsid w:val="002931A9"/>
    <w:rsid w:val="002A12F5"/>
    <w:rsid w:val="002A265A"/>
    <w:rsid w:val="002A551B"/>
    <w:rsid w:val="002A78B8"/>
    <w:rsid w:val="002B47E1"/>
    <w:rsid w:val="002B714F"/>
    <w:rsid w:val="002C08B2"/>
    <w:rsid w:val="002C1922"/>
    <w:rsid w:val="002C1AD2"/>
    <w:rsid w:val="002C24A6"/>
    <w:rsid w:val="002C343B"/>
    <w:rsid w:val="002C3CC7"/>
    <w:rsid w:val="002C6C8A"/>
    <w:rsid w:val="002C7F8B"/>
    <w:rsid w:val="002E1F20"/>
    <w:rsid w:val="002E509B"/>
    <w:rsid w:val="002F2F90"/>
    <w:rsid w:val="002F3207"/>
    <w:rsid w:val="002F58CC"/>
    <w:rsid w:val="002F6C0D"/>
    <w:rsid w:val="003008DC"/>
    <w:rsid w:val="00301D6D"/>
    <w:rsid w:val="003167F8"/>
    <w:rsid w:val="00317BC2"/>
    <w:rsid w:val="00325359"/>
    <w:rsid w:val="00325FA5"/>
    <w:rsid w:val="00334104"/>
    <w:rsid w:val="003373E5"/>
    <w:rsid w:val="003502F1"/>
    <w:rsid w:val="003517E8"/>
    <w:rsid w:val="00352455"/>
    <w:rsid w:val="00356F6A"/>
    <w:rsid w:val="003643BC"/>
    <w:rsid w:val="00364857"/>
    <w:rsid w:val="00365A92"/>
    <w:rsid w:val="00366B9C"/>
    <w:rsid w:val="0037005D"/>
    <w:rsid w:val="00370C7B"/>
    <w:rsid w:val="0037223B"/>
    <w:rsid w:val="00372289"/>
    <w:rsid w:val="0037760F"/>
    <w:rsid w:val="00386085"/>
    <w:rsid w:val="003863BB"/>
    <w:rsid w:val="00391189"/>
    <w:rsid w:val="0039125E"/>
    <w:rsid w:val="00391E6A"/>
    <w:rsid w:val="003924CD"/>
    <w:rsid w:val="00394006"/>
    <w:rsid w:val="003961FD"/>
    <w:rsid w:val="003A4B70"/>
    <w:rsid w:val="003A6795"/>
    <w:rsid w:val="003B115C"/>
    <w:rsid w:val="003B1420"/>
    <w:rsid w:val="003B42D9"/>
    <w:rsid w:val="003B6305"/>
    <w:rsid w:val="003B7FD7"/>
    <w:rsid w:val="003C1772"/>
    <w:rsid w:val="003C314A"/>
    <w:rsid w:val="003C50FF"/>
    <w:rsid w:val="003C656C"/>
    <w:rsid w:val="003D55A0"/>
    <w:rsid w:val="003D7AC7"/>
    <w:rsid w:val="003E0BF7"/>
    <w:rsid w:val="003E18E5"/>
    <w:rsid w:val="003E1F7D"/>
    <w:rsid w:val="003E363F"/>
    <w:rsid w:val="003E3CB4"/>
    <w:rsid w:val="003E4E49"/>
    <w:rsid w:val="003F202E"/>
    <w:rsid w:val="003F4A2F"/>
    <w:rsid w:val="003F5452"/>
    <w:rsid w:val="003F723C"/>
    <w:rsid w:val="00400AB5"/>
    <w:rsid w:val="00403F58"/>
    <w:rsid w:val="00406247"/>
    <w:rsid w:val="004070BE"/>
    <w:rsid w:val="004073FD"/>
    <w:rsid w:val="00410E24"/>
    <w:rsid w:val="00411369"/>
    <w:rsid w:val="004122C0"/>
    <w:rsid w:val="00412F0C"/>
    <w:rsid w:val="0041473D"/>
    <w:rsid w:val="00415C30"/>
    <w:rsid w:val="00416F95"/>
    <w:rsid w:val="00417708"/>
    <w:rsid w:val="00417C22"/>
    <w:rsid w:val="0042494E"/>
    <w:rsid w:val="00425EF0"/>
    <w:rsid w:val="00440EE1"/>
    <w:rsid w:val="0044279A"/>
    <w:rsid w:val="004432CE"/>
    <w:rsid w:val="004502D4"/>
    <w:rsid w:val="00451624"/>
    <w:rsid w:val="00451A7E"/>
    <w:rsid w:val="00452525"/>
    <w:rsid w:val="00454F92"/>
    <w:rsid w:val="0045620D"/>
    <w:rsid w:val="00456D9A"/>
    <w:rsid w:val="004659DE"/>
    <w:rsid w:val="00465D66"/>
    <w:rsid w:val="004669C7"/>
    <w:rsid w:val="0046768A"/>
    <w:rsid w:val="004712D4"/>
    <w:rsid w:val="00472960"/>
    <w:rsid w:val="0047314D"/>
    <w:rsid w:val="004737C1"/>
    <w:rsid w:val="00473FF3"/>
    <w:rsid w:val="00475554"/>
    <w:rsid w:val="00483A33"/>
    <w:rsid w:val="00485136"/>
    <w:rsid w:val="00485D14"/>
    <w:rsid w:val="00491D4A"/>
    <w:rsid w:val="004952EB"/>
    <w:rsid w:val="00496C92"/>
    <w:rsid w:val="00497CEE"/>
    <w:rsid w:val="004B0D5E"/>
    <w:rsid w:val="004B1388"/>
    <w:rsid w:val="004B3E71"/>
    <w:rsid w:val="004B4C37"/>
    <w:rsid w:val="004B50D5"/>
    <w:rsid w:val="004C0C5C"/>
    <w:rsid w:val="004C37D6"/>
    <w:rsid w:val="004C4D0E"/>
    <w:rsid w:val="004C5EE0"/>
    <w:rsid w:val="004C6D6B"/>
    <w:rsid w:val="004C7242"/>
    <w:rsid w:val="004D1BF8"/>
    <w:rsid w:val="004E33B9"/>
    <w:rsid w:val="004E3B5F"/>
    <w:rsid w:val="004E3D31"/>
    <w:rsid w:val="004E634F"/>
    <w:rsid w:val="004E6FFE"/>
    <w:rsid w:val="004E7AF7"/>
    <w:rsid w:val="004F151E"/>
    <w:rsid w:val="004F162A"/>
    <w:rsid w:val="004F4792"/>
    <w:rsid w:val="005024BF"/>
    <w:rsid w:val="00504EAB"/>
    <w:rsid w:val="00515896"/>
    <w:rsid w:val="005171FC"/>
    <w:rsid w:val="00520070"/>
    <w:rsid w:val="005207E1"/>
    <w:rsid w:val="00521577"/>
    <w:rsid w:val="005231F9"/>
    <w:rsid w:val="0053532A"/>
    <w:rsid w:val="0054024B"/>
    <w:rsid w:val="00543BAC"/>
    <w:rsid w:val="00544305"/>
    <w:rsid w:val="00544804"/>
    <w:rsid w:val="00544874"/>
    <w:rsid w:val="00551EF5"/>
    <w:rsid w:val="00553A10"/>
    <w:rsid w:val="00557323"/>
    <w:rsid w:val="005611FA"/>
    <w:rsid w:val="00567549"/>
    <w:rsid w:val="00573571"/>
    <w:rsid w:val="00573DBB"/>
    <w:rsid w:val="005762F4"/>
    <w:rsid w:val="005810D5"/>
    <w:rsid w:val="005928FC"/>
    <w:rsid w:val="00592A43"/>
    <w:rsid w:val="005A22A2"/>
    <w:rsid w:val="005A321F"/>
    <w:rsid w:val="005A4175"/>
    <w:rsid w:val="005A51D5"/>
    <w:rsid w:val="005A7724"/>
    <w:rsid w:val="005B2ABE"/>
    <w:rsid w:val="005C2AFD"/>
    <w:rsid w:val="005C3CA3"/>
    <w:rsid w:val="005C69A1"/>
    <w:rsid w:val="005D7E7E"/>
    <w:rsid w:val="005E128A"/>
    <w:rsid w:val="005E5E81"/>
    <w:rsid w:val="005E6EA6"/>
    <w:rsid w:val="005E6F74"/>
    <w:rsid w:val="005F0AC5"/>
    <w:rsid w:val="005F3BCA"/>
    <w:rsid w:val="005F4667"/>
    <w:rsid w:val="005F5888"/>
    <w:rsid w:val="005F640E"/>
    <w:rsid w:val="005F758E"/>
    <w:rsid w:val="00603E87"/>
    <w:rsid w:val="00607228"/>
    <w:rsid w:val="00607D64"/>
    <w:rsid w:val="0061742B"/>
    <w:rsid w:val="0062169B"/>
    <w:rsid w:val="00623056"/>
    <w:rsid w:val="00633699"/>
    <w:rsid w:val="0063429C"/>
    <w:rsid w:val="006343E0"/>
    <w:rsid w:val="00636E39"/>
    <w:rsid w:val="00655397"/>
    <w:rsid w:val="006608E3"/>
    <w:rsid w:val="006615B1"/>
    <w:rsid w:val="0066182A"/>
    <w:rsid w:val="00663473"/>
    <w:rsid w:val="00663A0B"/>
    <w:rsid w:val="00665955"/>
    <w:rsid w:val="0066622A"/>
    <w:rsid w:val="0067129F"/>
    <w:rsid w:val="00672103"/>
    <w:rsid w:val="006745A8"/>
    <w:rsid w:val="00676AAE"/>
    <w:rsid w:val="006820B4"/>
    <w:rsid w:val="00685CBE"/>
    <w:rsid w:val="0069516A"/>
    <w:rsid w:val="006A181B"/>
    <w:rsid w:val="006A6FE9"/>
    <w:rsid w:val="006B3A18"/>
    <w:rsid w:val="006B407E"/>
    <w:rsid w:val="006B7B39"/>
    <w:rsid w:val="006C1739"/>
    <w:rsid w:val="006C3320"/>
    <w:rsid w:val="006D0893"/>
    <w:rsid w:val="006D5694"/>
    <w:rsid w:val="006D5F8D"/>
    <w:rsid w:val="006D60CE"/>
    <w:rsid w:val="006D668D"/>
    <w:rsid w:val="006D6ADE"/>
    <w:rsid w:val="006D7AD0"/>
    <w:rsid w:val="006D7C03"/>
    <w:rsid w:val="006E0232"/>
    <w:rsid w:val="006E3017"/>
    <w:rsid w:val="006F07AA"/>
    <w:rsid w:val="006F2049"/>
    <w:rsid w:val="006F6259"/>
    <w:rsid w:val="006F7EDD"/>
    <w:rsid w:val="00700457"/>
    <w:rsid w:val="00700A31"/>
    <w:rsid w:val="007217D9"/>
    <w:rsid w:val="007255FF"/>
    <w:rsid w:val="00725F5B"/>
    <w:rsid w:val="00726E4D"/>
    <w:rsid w:val="00735EB0"/>
    <w:rsid w:val="007451D0"/>
    <w:rsid w:val="0075049C"/>
    <w:rsid w:val="00754065"/>
    <w:rsid w:val="007558B4"/>
    <w:rsid w:val="00761380"/>
    <w:rsid w:val="00763F16"/>
    <w:rsid w:val="00766ED2"/>
    <w:rsid w:val="0077013A"/>
    <w:rsid w:val="00770402"/>
    <w:rsid w:val="00772B69"/>
    <w:rsid w:val="007736DC"/>
    <w:rsid w:val="007760AD"/>
    <w:rsid w:val="00780F73"/>
    <w:rsid w:val="007831A2"/>
    <w:rsid w:val="00785614"/>
    <w:rsid w:val="007925CB"/>
    <w:rsid w:val="00792F86"/>
    <w:rsid w:val="00796E58"/>
    <w:rsid w:val="00796F83"/>
    <w:rsid w:val="007A4481"/>
    <w:rsid w:val="007A46FE"/>
    <w:rsid w:val="007A5054"/>
    <w:rsid w:val="007A5F6F"/>
    <w:rsid w:val="007B3C50"/>
    <w:rsid w:val="007C16BB"/>
    <w:rsid w:val="007C4D82"/>
    <w:rsid w:val="007C7A03"/>
    <w:rsid w:val="007D5E9C"/>
    <w:rsid w:val="007E0CF9"/>
    <w:rsid w:val="007E68E7"/>
    <w:rsid w:val="007F0FF2"/>
    <w:rsid w:val="007F216B"/>
    <w:rsid w:val="007F4928"/>
    <w:rsid w:val="007F50B2"/>
    <w:rsid w:val="007F64C7"/>
    <w:rsid w:val="00800B94"/>
    <w:rsid w:val="00804BB9"/>
    <w:rsid w:val="008065A8"/>
    <w:rsid w:val="00811549"/>
    <w:rsid w:val="00814E25"/>
    <w:rsid w:val="00821B41"/>
    <w:rsid w:val="00824FCF"/>
    <w:rsid w:val="00825CC8"/>
    <w:rsid w:val="008272B8"/>
    <w:rsid w:val="008312E2"/>
    <w:rsid w:val="00832019"/>
    <w:rsid w:val="00834B9F"/>
    <w:rsid w:val="008379A5"/>
    <w:rsid w:val="008461C5"/>
    <w:rsid w:val="008470B2"/>
    <w:rsid w:val="008536C3"/>
    <w:rsid w:val="008562F9"/>
    <w:rsid w:val="0085637D"/>
    <w:rsid w:val="0085650E"/>
    <w:rsid w:val="008623A3"/>
    <w:rsid w:val="00862797"/>
    <w:rsid w:val="00863F6B"/>
    <w:rsid w:val="00864D9A"/>
    <w:rsid w:val="00871BD0"/>
    <w:rsid w:val="00871C57"/>
    <w:rsid w:val="00872776"/>
    <w:rsid w:val="0088073D"/>
    <w:rsid w:val="0088384E"/>
    <w:rsid w:val="00883D2E"/>
    <w:rsid w:val="0089009B"/>
    <w:rsid w:val="0089181B"/>
    <w:rsid w:val="00891D8F"/>
    <w:rsid w:val="008943A6"/>
    <w:rsid w:val="00896500"/>
    <w:rsid w:val="008A0BB8"/>
    <w:rsid w:val="008A706F"/>
    <w:rsid w:val="008B1A44"/>
    <w:rsid w:val="008B7A6D"/>
    <w:rsid w:val="008C34F5"/>
    <w:rsid w:val="008C40F2"/>
    <w:rsid w:val="008C5675"/>
    <w:rsid w:val="008D22BE"/>
    <w:rsid w:val="008D73F4"/>
    <w:rsid w:val="008E3075"/>
    <w:rsid w:val="008E362C"/>
    <w:rsid w:val="008E46F0"/>
    <w:rsid w:val="008E51BF"/>
    <w:rsid w:val="008E6DB6"/>
    <w:rsid w:val="008E7283"/>
    <w:rsid w:val="008E781E"/>
    <w:rsid w:val="008F60D8"/>
    <w:rsid w:val="008F6D1B"/>
    <w:rsid w:val="00900CC6"/>
    <w:rsid w:val="00900D0B"/>
    <w:rsid w:val="009047DE"/>
    <w:rsid w:val="00905969"/>
    <w:rsid w:val="00906027"/>
    <w:rsid w:val="00907A1C"/>
    <w:rsid w:val="00910532"/>
    <w:rsid w:val="00912F92"/>
    <w:rsid w:val="009148DC"/>
    <w:rsid w:val="009223BE"/>
    <w:rsid w:val="00924354"/>
    <w:rsid w:val="00924D95"/>
    <w:rsid w:val="00925E66"/>
    <w:rsid w:val="00926FBB"/>
    <w:rsid w:val="00930094"/>
    <w:rsid w:val="00932F90"/>
    <w:rsid w:val="00936A75"/>
    <w:rsid w:val="00943496"/>
    <w:rsid w:val="009435AB"/>
    <w:rsid w:val="0094363A"/>
    <w:rsid w:val="00945C48"/>
    <w:rsid w:val="00946AAB"/>
    <w:rsid w:val="00954F5D"/>
    <w:rsid w:val="00960DE1"/>
    <w:rsid w:val="00963367"/>
    <w:rsid w:val="009636E3"/>
    <w:rsid w:val="0096410D"/>
    <w:rsid w:val="00964E5E"/>
    <w:rsid w:val="0096509C"/>
    <w:rsid w:val="00966F74"/>
    <w:rsid w:val="009706AF"/>
    <w:rsid w:val="009732FF"/>
    <w:rsid w:val="00973F0A"/>
    <w:rsid w:val="009A03B3"/>
    <w:rsid w:val="009A262F"/>
    <w:rsid w:val="009A400A"/>
    <w:rsid w:val="009B319A"/>
    <w:rsid w:val="009B457C"/>
    <w:rsid w:val="009C2351"/>
    <w:rsid w:val="009D0CFB"/>
    <w:rsid w:val="009D1301"/>
    <w:rsid w:val="009D1924"/>
    <w:rsid w:val="009D30C7"/>
    <w:rsid w:val="009D3CEB"/>
    <w:rsid w:val="009D6BC7"/>
    <w:rsid w:val="009D7CF2"/>
    <w:rsid w:val="009E42A5"/>
    <w:rsid w:val="009F6B34"/>
    <w:rsid w:val="00A013DD"/>
    <w:rsid w:val="00A10326"/>
    <w:rsid w:val="00A12A16"/>
    <w:rsid w:val="00A30FE3"/>
    <w:rsid w:val="00A356AC"/>
    <w:rsid w:val="00A41BB4"/>
    <w:rsid w:val="00A44BE9"/>
    <w:rsid w:val="00A461CA"/>
    <w:rsid w:val="00A472EF"/>
    <w:rsid w:val="00A5466C"/>
    <w:rsid w:val="00A54912"/>
    <w:rsid w:val="00A54AAA"/>
    <w:rsid w:val="00A56045"/>
    <w:rsid w:val="00A5672D"/>
    <w:rsid w:val="00A57513"/>
    <w:rsid w:val="00A57D9C"/>
    <w:rsid w:val="00A6198C"/>
    <w:rsid w:val="00A61BB8"/>
    <w:rsid w:val="00A633A6"/>
    <w:rsid w:val="00A66C4C"/>
    <w:rsid w:val="00A73E7C"/>
    <w:rsid w:val="00A81EE4"/>
    <w:rsid w:val="00A85453"/>
    <w:rsid w:val="00A856EF"/>
    <w:rsid w:val="00A93714"/>
    <w:rsid w:val="00A9482A"/>
    <w:rsid w:val="00A94958"/>
    <w:rsid w:val="00A95B09"/>
    <w:rsid w:val="00AA1C06"/>
    <w:rsid w:val="00AA7EEA"/>
    <w:rsid w:val="00AB196F"/>
    <w:rsid w:val="00AC1767"/>
    <w:rsid w:val="00AC385D"/>
    <w:rsid w:val="00AC64FA"/>
    <w:rsid w:val="00AD7173"/>
    <w:rsid w:val="00AE602B"/>
    <w:rsid w:val="00AF06D4"/>
    <w:rsid w:val="00AF199C"/>
    <w:rsid w:val="00AF45D1"/>
    <w:rsid w:val="00AF4C1F"/>
    <w:rsid w:val="00AF6BB7"/>
    <w:rsid w:val="00B01F28"/>
    <w:rsid w:val="00B061A7"/>
    <w:rsid w:val="00B10B03"/>
    <w:rsid w:val="00B15559"/>
    <w:rsid w:val="00B15786"/>
    <w:rsid w:val="00B15D3C"/>
    <w:rsid w:val="00B1656C"/>
    <w:rsid w:val="00B22A7B"/>
    <w:rsid w:val="00B24B83"/>
    <w:rsid w:val="00B2722B"/>
    <w:rsid w:val="00B27F36"/>
    <w:rsid w:val="00B31018"/>
    <w:rsid w:val="00B36736"/>
    <w:rsid w:val="00B3718B"/>
    <w:rsid w:val="00B37288"/>
    <w:rsid w:val="00B42410"/>
    <w:rsid w:val="00B454C2"/>
    <w:rsid w:val="00B4623A"/>
    <w:rsid w:val="00B52CD8"/>
    <w:rsid w:val="00B535F9"/>
    <w:rsid w:val="00B53C54"/>
    <w:rsid w:val="00B6078E"/>
    <w:rsid w:val="00B63432"/>
    <w:rsid w:val="00B63609"/>
    <w:rsid w:val="00B64A0F"/>
    <w:rsid w:val="00B672A6"/>
    <w:rsid w:val="00B72836"/>
    <w:rsid w:val="00B7423A"/>
    <w:rsid w:val="00B75A6E"/>
    <w:rsid w:val="00B813F2"/>
    <w:rsid w:val="00B958AC"/>
    <w:rsid w:val="00BA7778"/>
    <w:rsid w:val="00BA7F24"/>
    <w:rsid w:val="00BB26A7"/>
    <w:rsid w:val="00BB3B60"/>
    <w:rsid w:val="00BC39C5"/>
    <w:rsid w:val="00BC53BB"/>
    <w:rsid w:val="00BC5856"/>
    <w:rsid w:val="00BC7710"/>
    <w:rsid w:val="00BD0397"/>
    <w:rsid w:val="00BD43D5"/>
    <w:rsid w:val="00BE0A5E"/>
    <w:rsid w:val="00BE14A5"/>
    <w:rsid w:val="00BE257F"/>
    <w:rsid w:val="00BE270A"/>
    <w:rsid w:val="00BE5C37"/>
    <w:rsid w:val="00BF0936"/>
    <w:rsid w:val="00BF5BF3"/>
    <w:rsid w:val="00C01066"/>
    <w:rsid w:val="00C01523"/>
    <w:rsid w:val="00C048C2"/>
    <w:rsid w:val="00C0649F"/>
    <w:rsid w:val="00C12096"/>
    <w:rsid w:val="00C14876"/>
    <w:rsid w:val="00C17F3F"/>
    <w:rsid w:val="00C21D4B"/>
    <w:rsid w:val="00C24791"/>
    <w:rsid w:val="00C262BD"/>
    <w:rsid w:val="00C26F67"/>
    <w:rsid w:val="00C3225E"/>
    <w:rsid w:val="00C32A9E"/>
    <w:rsid w:val="00C360B5"/>
    <w:rsid w:val="00C410ED"/>
    <w:rsid w:val="00C45C37"/>
    <w:rsid w:val="00C47341"/>
    <w:rsid w:val="00C47A41"/>
    <w:rsid w:val="00C5306A"/>
    <w:rsid w:val="00C54BCE"/>
    <w:rsid w:val="00C6038F"/>
    <w:rsid w:val="00C60956"/>
    <w:rsid w:val="00C7036E"/>
    <w:rsid w:val="00C7046E"/>
    <w:rsid w:val="00C712A2"/>
    <w:rsid w:val="00C7217A"/>
    <w:rsid w:val="00C75694"/>
    <w:rsid w:val="00C75873"/>
    <w:rsid w:val="00C76104"/>
    <w:rsid w:val="00C76884"/>
    <w:rsid w:val="00C830A0"/>
    <w:rsid w:val="00C872E8"/>
    <w:rsid w:val="00C87C65"/>
    <w:rsid w:val="00C9497F"/>
    <w:rsid w:val="00C94BCB"/>
    <w:rsid w:val="00CA34FB"/>
    <w:rsid w:val="00CB1ADC"/>
    <w:rsid w:val="00CC05D3"/>
    <w:rsid w:val="00CC32F0"/>
    <w:rsid w:val="00CC48C9"/>
    <w:rsid w:val="00CC5D84"/>
    <w:rsid w:val="00CC5DB0"/>
    <w:rsid w:val="00CD01E4"/>
    <w:rsid w:val="00CD1D40"/>
    <w:rsid w:val="00CD1DFF"/>
    <w:rsid w:val="00CD1F1E"/>
    <w:rsid w:val="00CD4F2F"/>
    <w:rsid w:val="00CD6646"/>
    <w:rsid w:val="00CD71D9"/>
    <w:rsid w:val="00CE0496"/>
    <w:rsid w:val="00CE1FF9"/>
    <w:rsid w:val="00CE2805"/>
    <w:rsid w:val="00CE45C6"/>
    <w:rsid w:val="00CF028E"/>
    <w:rsid w:val="00CF462B"/>
    <w:rsid w:val="00CF6E0E"/>
    <w:rsid w:val="00D00295"/>
    <w:rsid w:val="00D03277"/>
    <w:rsid w:val="00D10A79"/>
    <w:rsid w:val="00D1441F"/>
    <w:rsid w:val="00D15C07"/>
    <w:rsid w:val="00D22586"/>
    <w:rsid w:val="00D24C57"/>
    <w:rsid w:val="00D27DD1"/>
    <w:rsid w:val="00D3405C"/>
    <w:rsid w:val="00D36B8C"/>
    <w:rsid w:val="00D455F9"/>
    <w:rsid w:val="00D47D98"/>
    <w:rsid w:val="00D52485"/>
    <w:rsid w:val="00D54F47"/>
    <w:rsid w:val="00D55668"/>
    <w:rsid w:val="00D6029A"/>
    <w:rsid w:val="00D611E9"/>
    <w:rsid w:val="00D61AC3"/>
    <w:rsid w:val="00D6631A"/>
    <w:rsid w:val="00D73326"/>
    <w:rsid w:val="00D738D4"/>
    <w:rsid w:val="00D74D5A"/>
    <w:rsid w:val="00D86E61"/>
    <w:rsid w:val="00D8779D"/>
    <w:rsid w:val="00D90E13"/>
    <w:rsid w:val="00D94574"/>
    <w:rsid w:val="00D965DE"/>
    <w:rsid w:val="00D9759B"/>
    <w:rsid w:val="00DA3FDE"/>
    <w:rsid w:val="00DA5539"/>
    <w:rsid w:val="00DA6E68"/>
    <w:rsid w:val="00DB07E9"/>
    <w:rsid w:val="00DB1865"/>
    <w:rsid w:val="00DB18F6"/>
    <w:rsid w:val="00DB35EA"/>
    <w:rsid w:val="00DB67C0"/>
    <w:rsid w:val="00DC30B4"/>
    <w:rsid w:val="00DC3D85"/>
    <w:rsid w:val="00DD0BBA"/>
    <w:rsid w:val="00DD0F6D"/>
    <w:rsid w:val="00DE336F"/>
    <w:rsid w:val="00DE7E19"/>
    <w:rsid w:val="00DF244A"/>
    <w:rsid w:val="00DF52A1"/>
    <w:rsid w:val="00DF6DFF"/>
    <w:rsid w:val="00DF7BE6"/>
    <w:rsid w:val="00E004EA"/>
    <w:rsid w:val="00E21524"/>
    <w:rsid w:val="00E258C4"/>
    <w:rsid w:val="00E35363"/>
    <w:rsid w:val="00E355CA"/>
    <w:rsid w:val="00E37E07"/>
    <w:rsid w:val="00E45DF1"/>
    <w:rsid w:val="00E543A7"/>
    <w:rsid w:val="00E550FE"/>
    <w:rsid w:val="00E56F23"/>
    <w:rsid w:val="00E57378"/>
    <w:rsid w:val="00E606E8"/>
    <w:rsid w:val="00E716FC"/>
    <w:rsid w:val="00E722FB"/>
    <w:rsid w:val="00E7243A"/>
    <w:rsid w:val="00E72824"/>
    <w:rsid w:val="00E75F17"/>
    <w:rsid w:val="00E804B4"/>
    <w:rsid w:val="00E81688"/>
    <w:rsid w:val="00E8185A"/>
    <w:rsid w:val="00E828EB"/>
    <w:rsid w:val="00E868E3"/>
    <w:rsid w:val="00E91188"/>
    <w:rsid w:val="00E93AE4"/>
    <w:rsid w:val="00E960CA"/>
    <w:rsid w:val="00E966B3"/>
    <w:rsid w:val="00EA1042"/>
    <w:rsid w:val="00EA67FB"/>
    <w:rsid w:val="00EA7720"/>
    <w:rsid w:val="00EB141C"/>
    <w:rsid w:val="00EB1725"/>
    <w:rsid w:val="00EB18C8"/>
    <w:rsid w:val="00ED0DA7"/>
    <w:rsid w:val="00ED1542"/>
    <w:rsid w:val="00ED17EA"/>
    <w:rsid w:val="00ED4338"/>
    <w:rsid w:val="00EE1E1C"/>
    <w:rsid w:val="00EE2294"/>
    <w:rsid w:val="00EE2A86"/>
    <w:rsid w:val="00EF2C7C"/>
    <w:rsid w:val="00F00462"/>
    <w:rsid w:val="00F0072A"/>
    <w:rsid w:val="00F05B00"/>
    <w:rsid w:val="00F1148A"/>
    <w:rsid w:val="00F20CED"/>
    <w:rsid w:val="00F2588E"/>
    <w:rsid w:val="00F25C60"/>
    <w:rsid w:val="00F30D51"/>
    <w:rsid w:val="00F33E6A"/>
    <w:rsid w:val="00F356B0"/>
    <w:rsid w:val="00F36AAF"/>
    <w:rsid w:val="00F41DBC"/>
    <w:rsid w:val="00F44E34"/>
    <w:rsid w:val="00F4692B"/>
    <w:rsid w:val="00F529EB"/>
    <w:rsid w:val="00F52BD5"/>
    <w:rsid w:val="00F54A88"/>
    <w:rsid w:val="00F629BD"/>
    <w:rsid w:val="00F632C9"/>
    <w:rsid w:val="00F64A2F"/>
    <w:rsid w:val="00F66734"/>
    <w:rsid w:val="00F66947"/>
    <w:rsid w:val="00F71F57"/>
    <w:rsid w:val="00F80312"/>
    <w:rsid w:val="00F81516"/>
    <w:rsid w:val="00F85EDB"/>
    <w:rsid w:val="00F91AFC"/>
    <w:rsid w:val="00F94CEF"/>
    <w:rsid w:val="00F96F91"/>
    <w:rsid w:val="00F97D03"/>
    <w:rsid w:val="00FA09E5"/>
    <w:rsid w:val="00FB15DC"/>
    <w:rsid w:val="00FB1DB1"/>
    <w:rsid w:val="00FB64E2"/>
    <w:rsid w:val="00FB6790"/>
    <w:rsid w:val="00FC01F1"/>
    <w:rsid w:val="00FC783E"/>
    <w:rsid w:val="00FD1693"/>
    <w:rsid w:val="00FD1FC9"/>
    <w:rsid w:val="00FD3334"/>
    <w:rsid w:val="00FD4ADF"/>
    <w:rsid w:val="00FD5935"/>
    <w:rsid w:val="00FD7FE9"/>
    <w:rsid w:val="00FE0AD5"/>
    <w:rsid w:val="00FE104F"/>
    <w:rsid w:val="00FE581F"/>
    <w:rsid w:val="00FF0E86"/>
    <w:rsid w:val="00FF1410"/>
    <w:rsid w:val="00FF518A"/>
    <w:rsid w:val="00FF6147"/>
    <w:rsid w:val="00FF6210"/>
    <w:rsid w:val="00FF775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F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16 Point,Superscript 6 Point,Footnote Reference Number,Footnote Reference_LVL6,Footnote Reference_LVL61,Footnote Reference_LVL62,Footnote Reference_LVL63,Footnote Reference_LVL64,Referencia nota al pie"/>
    <w:basedOn w:val="a0"/>
    <w:uiPriority w:val="99"/>
    <w:rsid w:val="006D6ADE"/>
    <w:rPr>
      <w:rFonts w:cs="Times New Roman"/>
      <w:vertAlign w:val="superscript"/>
    </w:rPr>
  </w:style>
  <w:style w:type="paragraph" w:styleId="a4">
    <w:name w:val="footnote text"/>
    <w:aliases w:val="Table_Footnote_last,Текст сноски Знак Знак,Текст сноски Знак Знак Знак Знак Знак,Текст сноски Знак Знак Знак,Footnote Text Char1,Table_Footnote_last Char1,Текст сноски Знак Знак Char1,Текст сноски Знак Знак Знак Char1 Знак Знак Знак,fn"/>
    <w:basedOn w:val="a"/>
    <w:link w:val="a5"/>
    <w:uiPriority w:val="99"/>
    <w:rsid w:val="006D6ADE"/>
    <w:pPr>
      <w:spacing w:after="0" w:line="240" w:lineRule="auto"/>
      <w:ind w:right="6180"/>
      <w:jc w:val="both"/>
    </w:pPr>
    <w:rPr>
      <w:rFonts w:eastAsia="Times New Roman" w:cstheme="minorHAnsi"/>
      <w:sz w:val="18"/>
      <w:szCs w:val="18"/>
    </w:rPr>
  </w:style>
  <w:style w:type="character" w:customStyle="1" w:styleId="a5">
    <w:name w:val="Текст сноски Знак"/>
    <w:aliases w:val="Table_Footnote_last Знак,Текст сноски Знак Знак Знак1,Текст сноски Знак Знак Знак Знак Знак Знак,Текст сноски Знак Знак Знак Знак,Footnote Text Char1 Знак,Table_Footnote_last Char1 Знак,Текст сноски Знак Знак Char1 Знак,fn Знак"/>
    <w:basedOn w:val="a0"/>
    <w:link w:val="a4"/>
    <w:uiPriority w:val="99"/>
    <w:rsid w:val="006D6ADE"/>
    <w:rPr>
      <w:rFonts w:eastAsia="Times New Roman" w:cstheme="minorHAnsi"/>
      <w:sz w:val="18"/>
      <w:szCs w:val="18"/>
    </w:rPr>
  </w:style>
  <w:style w:type="paragraph" w:customStyle="1" w:styleId="GraphicHead">
    <w:name w:val="Graphic Head"/>
    <w:basedOn w:val="a"/>
    <w:link w:val="GraphicHead0"/>
    <w:uiPriority w:val="99"/>
    <w:rsid w:val="006D6ADE"/>
    <w:pPr>
      <w:keepNext/>
      <w:spacing w:before="240" w:after="0" w:line="240" w:lineRule="auto"/>
    </w:pPr>
    <w:rPr>
      <w:rFonts w:eastAsia="Times New Roman" w:cstheme="minorHAnsi"/>
      <w:b/>
      <w:bCs/>
      <w:color w:val="E36C0A" w:themeColor="accent6" w:themeShade="BF"/>
      <w:spacing w:val="-4"/>
      <w:lang w:eastAsia="ru-RU"/>
    </w:rPr>
  </w:style>
  <w:style w:type="character" w:customStyle="1" w:styleId="GraphicHead0">
    <w:name w:val="Graphic Head Знак Знак"/>
    <w:link w:val="GraphicHead"/>
    <w:uiPriority w:val="99"/>
    <w:locked/>
    <w:rsid w:val="006D6ADE"/>
    <w:rPr>
      <w:rFonts w:eastAsia="Times New Roman" w:cstheme="minorHAnsi"/>
      <w:b/>
      <w:bCs/>
      <w:color w:val="E36C0A" w:themeColor="accent6" w:themeShade="BF"/>
      <w:spacing w:val="-4"/>
      <w:lang w:eastAsia="ru-RU"/>
    </w:rPr>
  </w:style>
  <w:style w:type="paragraph" w:styleId="a6">
    <w:name w:val="Balloon Text"/>
    <w:basedOn w:val="a"/>
    <w:link w:val="a7"/>
    <w:uiPriority w:val="99"/>
    <w:semiHidden/>
    <w:unhideWhenUsed/>
    <w:rsid w:val="006D6A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ADE"/>
    <w:rPr>
      <w:rFonts w:ascii="Tahoma" w:hAnsi="Tahoma" w:cs="Tahoma"/>
      <w:sz w:val="16"/>
      <w:szCs w:val="16"/>
    </w:rPr>
  </w:style>
  <w:style w:type="paragraph" w:customStyle="1" w:styleId="3">
    <w:name w:val="Основной текст3"/>
    <w:basedOn w:val="a"/>
    <w:rsid w:val="00663A0B"/>
    <w:pPr>
      <w:tabs>
        <w:tab w:val="left" w:pos="3686"/>
        <w:tab w:val="left" w:pos="3828"/>
        <w:tab w:val="left" w:pos="7371"/>
        <w:tab w:val="left" w:pos="8222"/>
      </w:tabs>
      <w:spacing w:after="120" w:line="240" w:lineRule="auto"/>
      <w:jc w:val="both"/>
    </w:pPr>
    <w:rPr>
      <w:rFonts w:eastAsia="Times New Roman" w:cs="Times New Roman"/>
      <w:spacing w:val="-2"/>
      <w:sz w:val="24"/>
      <w:szCs w:val="20"/>
    </w:rPr>
  </w:style>
  <w:style w:type="paragraph" w:customStyle="1" w:styleId="2">
    <w:name w:val="Основной текст2"/>
    <w:basedOn w:val="a"/>
    <w:rsid w:val="003924CD"/>
    <w:pPr>
      <w:tabs>
        <w:tab w:val="left" w:pos="3686"/>
        <w:tab w:val="left" w:pos="3828"/>
        <w:tab w:val="left" w:pos="7371"/>
        <w:tab w:val="left" w:pos="8222"/>
      </w:tabs>
      <w:spacing w:after="120" w:line="240" w:lineRule="auto"/>
      <w:jc w:val="both"/>
    </w:pPr>
    <w:rPr>
      <w:rFonts w:eastAsia="Times New Roman" w:cs="Times New Roman"/>
      <w:spacing w:val="-2"/>
      <w:sz w:val="24"/>
      <w:szCs w:val="20"/>
    </w:rPr>
  </w:style>
  <w:style w:type="table" w:styleId="a8">
    <w:name w:val="Table Grid"/>
    <w:basedOn w:val="a1"/>
    <w:uiPriority w:val="59"/>
    <w:rsid w:val="008E30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C38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385D"/>
  </w:style>
  <w:style w:type="paragraph" w:styleId="ab">
    <w:name w:val="footer"/>
    <w:basedOn w:val="a"/>
    <w:link w:val="ac"/>
    <w:uiPriority w:val="99"/>
    <w:unhideWhenUsed/>
    <w:rsid w:val="00AC38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385D"/>
  </w:style>
  <w:style w:type="character" w:customStyle="1" w:styleId="10">
    <w:name w:val="Заголовок 1 Знак"/>
    <w:basedOn w:val="a0"/>
    <w:link w:val="1"/>
    <w:uiPriority w:val="9"/>
    <w:rsid w:val="008E362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8E362C"/>
    <w:pPr>
      <w:outlineLvl w:val="9"/>
    </w:pPr>
    <w:rPr>
      <w:lang w:eastAsia="ru-RU"/>
    </w:rPr>
  </w:style>
  <w:style w:type="paragraph" w:styleId="11">
    <w:name w:val="toc 1"/>
    <w:basedOn w:val="a"/>
    <w:next w:val="a"/>
    <w:autoRedefine/>
    <w:uiPriority w:val="39"/>
    <w:unhideWhenUsed/>
    <w:rsid w:val="008E362C"/>
    <w:pPr>
      <w:spacing w:after="100"/>
    </w:pPr>
  </w:style>
  <w:style w:type="character" w:styleId="ae">
    <w:name w:val="Hyperlink"/>
    <w:basedOn w:val="a0"/>
    <w:uiPriority w:val="99"/>
    <w:unhideWhenUsed/>
    <w:rsid w:val="008E362C"/>
    <w:rPr>
      <w:color w:val="0000FF" w:themeColor="hyperlink"/>
      <w:u w:val="single"/>
    </w:rPr>
  </w:style>
  <w:style w:type="paragraph" w:styleId="af">
    <w:name w:val="List Paragraph"/>
    <w:basedOn w:val="a"/>
    <w:uiPriority w:val="34"/>
    <w:qFormat/>
    <w:rsid w:val="008D22BE"/>
    <w:pPr>
      <w:ind w:left="720"/>
      <w:contextualSpacing/>
    </w:pPr>
    <w:rPr>
      <w:rFonts w:eastAsiaTheme="minorEastAsia"/>
      <w:lang w:eastAsia="ru-RU"/>
    </w:rPr>
  </w:style>
  <w:style w:type="paragraph" w:customStyle="1" w:styleId="ConsPlusTitle">
    <w:name w:val="ConsPlusTitle"/>
    <w:rsid w:val="00623056"/>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36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FN,16 Point,Superscript 6 Point,Footnote Reference Number,Footnote Reference_LVL6,Footnote Reference_LVL61,Footnote Reference_LVL62,Footnote Reference_LVL63,Footnote Reference_LVL64,Referencia nota al pie"/>
    <w:basedOn w:val="a0"/>
    <w:uiPriority w:val="99"/>
    <w:rsid w:val="006D6ADE"/>
    <w:rPr>
      <w:rFonts w:cs="Times New Roman"/>
      <w:vertAlign w:val="superscript"/>
    </w:rPr>
  </w:style>
  <w:style w:type="paragraph" w:styleId="a4">
    <w:name w:val="footnote text"/>
    <w:aliases w:val="Table_Footnote_last,Текст сноски Знак Знак,Текст сноски Знак Знак Знак Знак Знак,Текст сноски Знак Знак Знак,Footnote Text Char1,Table_Footnote_last Char1,Текст сноски Знак Знак Char1,Текст сноски Знак Знак Знак Char1 Знак Знак Знак,fn"/>
    <w:basedOn w:val="a"/>
    <w:link w:val="a5"/>
    <w:uiPriority w:val="99"/>
    <w:rsid w:val="006D6ADE"/>
    <w:pPr>
      <w:spacing w:after="0" w:line="240" w:lineRule="auto"/>
      <w:ind w:right="6180"/>
      <w:jc w:val="both"/>
    </w:pPr>
    <w:rPr>
      <w:rFonts w:eastAsia="Times New Roman" w:cstheme="minorHAnsi"/>
      <w:sz w:val="18"/>
      <w:szCs w:val="18"/>
    </w:rPr>
  </w:style>
  <w:style w:type="character" w:customStyle="1" w:styleId="a5">
    <w:name w:val="Текст сноски Знак"/>
    <w:aliases w:val="Table_Footnote_last Знак,Текст сноски Знак Знак Знак1,Текст сноски Знак Знак Знак Знак Знак Знак,Текст сноски Знак Знак Знак Знак,Footnote Text Char1 Знак,Table_Footnote_last Char1 Знак,Текст сноски Знак Знак Char1 Знак,fn Знак"/>
    <w:basedOn w:val="a0"/>
    <w:link w:val="a4"/>
    <w:uiPriority w:val="99"/>
    <w:rsid w:val="006D6ADE"/>
    <w:rPr>
      <w:rFonts w:eastAsia="Times New Roman" w:cstheme="minorHAnsi"/>
      <w:sz w:val="18"/>
      <w:szCs w:val="18"/>
    </w:rPr>
  </w:style>
  <w:style w:type="paragraph" w:customStyle="1" w:styleId="GraphicHead">
    <w:name w:val="Graphic Head"/>
    <w:basedOn w:val="a"/>
    <w:link w:val="GraphicHead0"/>
    <w:uiPriority w:val="99"/>
    <w:rsid w:val="006D6ADE"/>
    <w:pPr>
      <w:keepNext/>
      <w:spacing w:before="240" w:after="0" w:line="240" w:lineRule="auto"/>
    </w:pPr>
    <w:rPr>
      <w:rFonts w:eastAsia="Times New Roman" w:cstheme="minorHAnsi"/>
      <w:b/>
      <w:bCs/>
      <w:color w:val="E36C0A" w:themeColor="accent6" w:themeShade="BF"/>
      <w:spacing w:val="-4"/>
      <w:lang w:eastAsia="ru-RU"/>
    </w:rPr>
  </w:style>
  <w:style w:type="character" w:customStyle="1" w:styleId="GraphicHead0">
    <w:name w:val="Graphic Head Знак Знак"/>
    <w:link w:val="GraphicHead"/>
    <w:uiPriority w:val="99"/>
    <w:locked/>
    <w:rsid w:val="006D6ADE"/>
    <w:rPr>
      <w:rFonts w:eastAsia="Times New Roman" w:cstheme="minorHAnsi"/>
      <w:b/>
      <w:bCs/>
      <w:color w:val="E36C0A" w:themeColor="accent6" w:themeShade="BF"/>
      <w:spacing w:val="-4"/>
      <w:lang w:eastAsia="ru-RU"/>
    </w:rPr>
  </w:style>
  <w:style w:type="paragraph" w:styleId="a6">
    <w:name w:val="Balloon Text"/>
    <w:basedOn w:val="a"/>
    <w:link w:val="a7"/>
    <w:uiPriority w:val="99"/>
    <w:semiHidden/>
    <w:unhideWhenUsed/>
    <w:rsid w:val="006D6A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ADE"/>
    <w:rPr>
      <w:rFonts w:ascii="Tahoma" w:hAnsi="Tahoma" w:cs="Tahoma"/>
      <w:sz w:val="16"/>
      <w:szCs w:val="16"/>
    </w:rPr>
  </w:style>
  <w:style w:type="paragraph" w:customStyle="1" w:styleId="3">
    <w:name w:val="Основной текст3"/>
    <w:basedOn w:val="a"/>
    <w:rsid w:val="00663A0B"/>
    <w:pPr>
      <w:tabs>
        <w:tab w:val="left" w:pos="3686"/>
        <w:tab w:val="left" w:pos="3828"/>
        <w:tab w:val="left" w:pos="7371"/>
        <w:tab w:val="left" w:pos="8222"/>
      </w:tabs>
      <w:spacing w:after="120" w:line="240" w:lineRule="auto"/>
      <w:jc w:val="both"/>
    </w:pPr>
    <w:rPr>
      <w:rFonts w:eastAsia="Times New Roman" w:cs="Times New Roman"/>
      <w:spacing w:val="-2"/>
      <w:sz w:val="24"/>
      <w:szCs w:val="20"/>
    </w:rPr>
  </w:style>
  <w:style w:type="paragraph" w:customStyle="1" w:styleId="2">
    <w:name w:val="Основной текст2"/>
    <w:basedOn w:val="a"/>
    <w:rsid w:val="003924CD"/>
    <w:pPr>
      <w:tabs>
        <w:tab w:val="left" w:pos="3686"/>
        <w:tab w:val="left" w:pos="3828"/>
        <w:tab w:val="left" w:pos="7371"/>
        <w:tab w:val="left" w:pos="8222"/>
      </w:tabs>
      <w:spacing w:after="120" w:line="240" w:lineRule="auto"/>
      <w:jc w:val="both"/>
    </w:pPr>
    <w:rPr>
      <w:rFonts w:eastAsia="Times New Roman" w:cs="Times New Roman"/>
      <w:spacing w:val="-2"/>
      <w:sz w:val="24"/>
      <w:szCs w:val="20"/>
    </w:rPr>
  </w:style>
  <w:style w:type="table" w:styleId="a8">
    <w:name w:val="Table Grid"/>
    <w:basedOn w:val="a1"/>
    <w:uiPriority w:val="59"/>
    <w:rsid w:val="008E30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C385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C385D"/>
  </w:style>
  <w:style w:type="paragraph" w:styleId="ab">
    <w:name w:val="footer"/>
    <w:basedOn w:val="a"/>
    <w:link w:val="ac"/>
    <w:uiPriority w:val="99"/>
    <w:unhideWhenUsed/>
    <w:rsid w:val="00AC385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C385D"/>
  </w:style>
  <w:style w:type="character" w:customStyle="1" w:styleId="10">
    <w:name w:val="Заголовок 1 Знак"/>
    <w:basedOn w:val="a0"/>
    <w:link w:val="1"/>
    <w:uiPriority w:val="9"/>
    <w:rsid w:val="008E362C"/>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8E362C"/>
    <w:pPr>
      <w:outlineLvl w:val="9"/>
    </w:pPr>
    <w:rPr>
      <w:lang w:eastAsia="ru-RU"/>
    </w:rPr>
  </w:style>
  <w:style w:type="paragraph" w:styleId="11">
    <w:name w:val="toc 1"/>
    <w:basedOn w:val="a"/>
    <w:next w:val="a"/>
    <w:autoRedefine/>
    <w:uiPriority w:val="39"/>
    <w:unhideWhenUsed/>
    <w:rsid w:val="008E362C"/>
    <w:pPr>
      <w:spacing w:after="100"/>
    </w:pPr>
  </w:style>
  <w:style w:type="character" w:styleId="ae">
    <w:name w:val="Hyperlink"/>
    <w:basedOn w:val="a0"/>
    <w:uiPriority w:val="99"/>
    <w:unhideWhenUsed/>
    <w:rsid w:val="008E362C"/>
    <w:rPr>
      <w:color w:val="0000FF" w:themeColor="hyperlink"/>
      <w:u w:val="single"/>
    </w:rPr>
  </w:style>
  <w:style w:type="paragraph" w:styleId="af">
    <w:name w:val="List Paragraph"/>
    <w:basedOn w:val="a"/>
    <w:uiPriority w:val="34"/>
    <w:qFormat/>
    <w:rsid w:val="008D22BE"/>
    <w:pPr>
      <w:ind w:left="720"/>
      <w:contextualSpacing/>
    </w:pPr>
    <w:rPr>
      <w:rFonts w:eastAsiaTheme="minorEastAsia"/>
      <w:lang w:eastAsia="ru-RU"/>
    </w:rPr>
  </w:style>
  <w:style w:type="paragraph" w:customStyle="1" w:styleId="ConsPlusTitle">
    <w:name w:val="ConsPlusTitle"/>
    <w:rsid w:val="00623056"/>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550401">
      <w:bodyDiv w:val="1"/>
      <w:marLeft w:val="0"/>
      <w:marRight w:val="0"/>
      <w:marTop w:val="0"/>
      <w:marBottom w:val="0"/>
      <w:divBdr>
        <w:top w:val="none" w:sz="0" w:space="0" w:color="auto"/>
        <w:left w:val="none" w:sz="0" w:space="0" w:color="auto"/>
        <w:bottom w:val="none" w:sz="0" w:space="0" w:color="auto"/>
        <w:right w:val="none" w:sz="0" w:space="0" w:color="auto"/>
      </w:divBdr>
    </w:div>
    <w:div w:id="73972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85A7-FEF7-4B2C-AF18-EF2F7E1E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7665</Words>
  <Characters>43696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51259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Чернявский</dc:creator>
  <cp:lastModifiedBy>Андрей</cp:lastModifiedBy>
  <cp:revision>5</cp:revision>
  <dcterms:created xsi:type="dcterms:W3CDTF">2015-11-02T15:52:00Z</dcterms:created>
  <dcterms:modified xsi:type="dcterms:W3CDTF">2015-11-02T17:47:00Z</dcterms:modified>
</cp:coreProperties>
</file>