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674" w:rsidRPr="008B4D99" w:rsidRDefault="00723674" w:rsidP="002E0AB7">
      <w:pPr>
        <w:spacing w:before="100" w:beforeAutospacing="1" w:after="100" w:afterAutospacing="1" w:line="240" w:lineRule="auto"/>
        <w:rPr>
          <w:rFonts w:ascii="Times New Roman" w:hAnsi="Times New Roman"/>
          <w:b/>
          <w:sz w:val="24"/>
          <w:szCs w:val="24"/>
          <w:lang w:eastAsia="ru-RU"/>
        </w:rPr>
      </w:pPr>
      <w:r w:rsidRPr="008B4D99">
        <w:rPr>
          <w:rFonts w:ascii="Times New Roman" w:hAnsi="Times New Roman"/>
          <w:b/>
          <w:sz w:val="24"/>
          <w:szCs w:val="24"/>
          <w:lang w:eastAsia="ru-RU"/>
        </w:rPr>
        <w:t>Содержание публикации</w:t>
      </w:r>
    </w:p>
    <w:p w:rsidR="00723674" w:rsidRPr="008B4D99" w:rsidRDefault="00723674" w:rsidP="002E0AB7">
      <w:pPr>
        <w:spacing w:before="100" w:beforeAutospacing="1" w:after="100" w:afterAutospacing="1" w:line="240" w:lineRule="auto"/>
        <w:rPr>
          <w:rFonts w:ascii="Times New Roman" w:hAnsi="Times New Roman"/>
          <w:sz w:val="24"/>
          <w:szCs w:val="24"/>
          <w:lang w:eastAsia="ru-RU"/>
        </w:rPr>
      </w:pPr>
      <w:r w:rsidRPr="008B4D99">
        <w:rPr>
          <w:rFonts w:ascii="Times New Roman" w:hAnsi="Times New Roman"/>
          <w:sz w:val="24"/>
          <w:szCs w:val="24"/>
          <w:lang w:eastAsia="ru-RU"/>
        </w:rPr>
        <w:t xml:space="preserve">Предисловие </w:t>
      </w:r>
    </w:p>
    <w:p w:rsidR="00723674" w:rsidRPr="008B4D99" w:rsidRDefault="00723674" w:rsidP="002E0AB7">
      <w:pPr>
        <w:spacing w:before="100" w:beforeAutospacing="1" w:after="100" w:afterAutospacing="1" w:line="240" w:lineRule="auto"/>
        <w:rPr>
          <w:rFonts w:ascii="Times New Roman" w:hAnsi="Times New Roman"/>
          <w:sz w:val="24"/>
          <w:szCs w:val="24"/>
          <w:lang w:eastAsia="ru-RU"/>
        </w:rPr>
      </w:pPr>
      <w:r w:rsidRPr="008B4D99">
        <w:rPr>
          <w:rFonts w:ascii="Times New Roman" w:hAnsi="Times New Roman"/>
          <w:sz w:val="24"/>
          <w:szCs w:val="24"/>
          <w:lang w:eastAsia="ru-RU"/>
        </w:rPr>
        <w:t>Введение</w:t>
      </w:r>
    </w:p>
    <w:p w:rsidR="00723674" w:rsidRPr="008B4D99" w:rsidRDefault="00723674" w:rsidP="002E0AB7">
      <w:pPr>
        <w:spacing w:before="100" w:beforeAutospacing="1" w:after="100" w:afterAutospacing="1" w:line="240" w:lineRule="auto"/>
        <w:rPr>
          <w:rFonts w:ascii="Times New Roman" w:hAnsi="Times New Roman"/>
          <w:sz w:val="24"/>
          <w:szCs w:val="24"/>
          <w:lang w:eastAsia="ru-RU"/>
        </w:rPr>
      </w:pPr>
      <w:r w:rsidRPr="008B4D99">
        <w:rPr>
          <w:rFonts w:ascii="Times New Roman" w:hAnsi="Times New Roman"/>
          <w:sz w:val="24"/>
          <w:szCs w:val="24"/>
          <w:lang w:eastAsia="ru-RU"/>
        </w:rPr>
        <w:t xml:space="preserve">1. Оценка практики регулирования предоставления государственных услуг </w:t>
      </w:r>
    </w:p>
    <w:p w:rsidR="00723674" w:rsidRPr="008B4D99" w:rsidRDefault="00723674" w:rsidP="002E0AB7">
      <w:pPr>
        <w:spacing w:before="100" w:beforeAutospacing="1" w:after="100" w:afterAutospacing="1" w:line="240" w:lineRule="auto"/>
        <w:rPr>
          <w:rFonts w:ascii="Times New Roman" w:hAnsi="Times New Roman"/>
          <w:sz w:val="24"/>
          <w:szCs w:val="24"/>
          <w:lang w:eastAsia="ru-RU"/>
        </w:rPr>
      </w:pPr>
      <w:r w:rsidRPr="008B4D99">
        <w:rPr>
          <w:rFonts w:ascii="Times New Roman" w:hAnsi="Times New Roman"/>
          <w:sz w:val="24"/>
          <w:szCs w:val="24"/>
          <w:lang w:eastAsia="ru-RU"/>
        </w:rPr>
        <w:t>1.1 Отдельные государственные услуги для бизнеса и комплексные государственные услуги по открытию предприятия</w:t>
      </w:r>
    </w:p>
    <w:p w:rsidR="00723674" w:rsidRPr="008B4D99" w:rsidRDefault="00723674" w:rsidP="002E0AB7">
      <w:pPr>
        <w:spacing w:before="100" w:beforeAutospacing="1" w:after="100" w:afterAutospacing="1" w:line="240" w:lineRule="auto"/>
        <w:rPr>
          <w:rFonts w:ascii="Times New Roman" w:hAnsi="Times New Roman"/>
          <w:sz w:val="24"/>
          <w:szCs w:val="24"/>
          <w:lang w:eastAsia="ru-RU"/>
        </w:rPr>
      </w:pPr>
      <w:r w:rsidRPr="008B4D99">
        <w:rPr>
          <w:rFonts w:ascii="Times New Roman" w:hAnsi="Times New Roman"/>
          <w:sz w:val="24"/>
          <w:szCs w:val="24"/>
          <w:lang w:eastAsia="ru-RU"/>
        </w:rPr>
        <w:t>1.2 Массовые государственные услуги (государственные услуги для граждан)</w:t>
      </w:r>
    </w:p>
    <w:p w:rsidR="00723674" w:rsidRPr="008B4D99" w:rsidRDefault="00723674" w:rsidP="002E0AB7">
      <w:pPr>
        <w:spacing w:before="100" w:beforeAutospacing="1" w:after="100" w:afterAutospacing="1" w:line="240" w:lineRule="auto"/>
        <w:rPr>
          <w:rFonts w:ascii="Times New Roman" w:hAnsi="Times New Roman"/>
          <w:sz w:val="24"/>
          <w:szCs w:val="24"/>
          <w:lang w:eastAsia="ru-RU"/>
        </w:rPr>
      </w:pPr>
      <w:r w:rsidRPr="008B4D99">
        <w:rPr>
          <w:rFonts w:ascii="Times New Roman" w:hAnsi="Times New Roman"/>
          <w:sz w:val="24"/>
          <w:szCs w:val="24"/>
          <w:lang w:eastAsia="ru-RU"/>
        </w:rPr>
        <w:t>2. Сведения о платности некоторых государственных услуг</w:t>
      </w:r>
    </w:p>
    <w:p w:rsidR="00723674" w:rsidRPr="008B4D99" w:rsidRDefault="00723674" w:rsidP="002E0AB7">
      <w:pPr>
        <w:spacing w:before="100" w:beforeAutospacing="1" w:after="100" w:afterAutospacing="1" w:line="240" w:lineRule="auto"/>
        <w:rPr>
          <w:rFonts w:ascii="Times New Roman" w:hAnsi="Times New Roman"/>
          <w:sz w:val="24"/>
          <w:szCs w:val="24"/>
          <w:lang w:eastAsia="ru-RU"/>
        </w:rPr>
      </w:pPr>
      <w:r w:rsidRPr="008B4D99">
        <w:rPr>
          <w:rFonts w:ascii="Times New Roman" w:hAnsi="Times New Roman"/>
          <w:sz w:val="24"/>
          <w:szCs w:val="24"/>
          <w:lang w:eastAsia="ru-RU"/>
        </w:rPr>
        <w:t>2.1 Регистрация коммерческого юридического лица</w:t>
      </w:r>
    </w:p>
    <w:p w:rsidR="00723674" w:rsidRPr="008B4D99" w:rsidRDefault="00723674" w:rsidP="002E0AB7">
      <w:pPr>
        <w:spacing w:before="100" w:beforeAutospacing="1" w:after="100" w:afterAutospacing="1" w:line="240" w:lineRule="auto"/>
        <w:rPr>
          <w:rFonts w:ascii="Times New Roman" w:hAnsi="Times New Roman"/>
          <w:sz w:val="24"/>
          <w:szCs w:val="24"/>
          <w:lang w:eastAsia="ru-RU"/>
        </w:rPr>
      </w:pPr>
      <w:r w:rsidRPr="008B4D99">
        <w:rPr>
          <w:rFonts w:ascii="Times New Roman" w:hAnsi="Times New Roman"/>
          <w:sz w:val="24"/>
          <w:szCs w:val="24"/>
          <w:lang w:eastAsia="ru-RU"/>
        </w:rPr>
        <w:t>2.2 Строительство многоквартирного жилого дома</w:t>
      </w:r>
    </w:p>
    <w:p w:rsidR="00723674" w:rsidRPr="008B4D99" w:rsidRDefault="00723674" w:rsidP="002E0AB7">
      <w:pPr>
        <w:spacing w:before="100" w:beforeAutospacing="1" w:after="100" w:afterAutospacing="1" w:line="240" w:lineRule="auto"/>
        <w:rPr>
          <w:rFonts w:ascii="Times New Roman" w:hAnsi="Times New Roman"/>
          <w:sz w:val="24"/>
          <w:szCs w:val="24"/>
          <w:lang w:eastAsia="ru-RU"/>
        </w:rPr>
      </w:pPr>
      <w:r w:rsidRPr="008B4D99">
        <w:rPr>
          <w:rFonts w:ascii="Times New Roman" w:hAnsi="Times New Roman"/>
          <w:sz w:val="24"/>
          <w:szCs w:val="24"/>
          <w:lang w:eastAsia="ru-RU"/>
        </w:rPr>
        <w:t>2.3 Аккредитация организаций, осуществляющих деятельность по оценке соответствия продукции, производственных процессов и услуг, установленным требованиям качества и безопасности</w:t>
      </w:r>
    </w:p>
    <w:p w:rsidR="00723674" w:rsidRPr="008B4D99" w:rsidRDefault="00723674" w:rsidP="002E0AB7">
      <w:pPr>
        <w:spacing w:before="100" w:beforeAutospacing="1" w:after="100" w:afterAutospacing="1" w:line="240" w:lineRule="auto"/>
        <w:rPr>
          <w:rFonts w:ascii="Times New Roman" w:hAnsi="Times New Roman"/>
          <w:sz w:val="24"/>
          <w:szCs w:val="24"/>
          <w:lang w:eastAsia="ru-RU"/>
        </w:rPr>
      </w:pPr>
      <w:r w:rsidRPr="008B4D99">
        <w:rPr>
          <w:rFonts w:ascii="Times New Roman" w:hAnsi="Times New Roman"/>
          <w:sz w:val="24"/>
          <w:szCs w:val="24"/>
          <w:lang w:eastAsia="ru-RU"/>
        </w:rPr>
        <w:t>2.4 Открытие предприятия пищевой промышленности</w:t>
      </w:r>
    </w:p>
    <w:p w:rsidR="00723674" w:rsidRPr="008B4D99" w:rsidRDefault="00723674" w:rsidP="002E0AB7">
      <w:pPr>
        <w:spacing w:before="100" w:beforeAutospacing="1" w:after="100" w:afterAutospacing="1" w:line="240" w:lineRule="auto"/>
        <w:rPr>
          <w:rFonts w:ascii="Times New Roman" w:hAnsi="Times New Roman"/>
          <w:sz w:val="24"/>
          <w:szCs w:val="24"/>
          <w:lang w:eastAsia="ru-RU"/>
        </w:rPr>
      </w:pPr>
      <w:r w:rsidRPr="008B4D99">
        <w:rPr>
          <w:rFonts w:ascii="Times New Roman" w:hAnsi="Times New Roman"/>
          <w:sz w:val="24"/>
          <w:szCs w:val="24"/>
          <w:lang w:eastAsia="ru-RU"/>
        </w:rPr>
        <w:t>2.5 Открытие предприятия лесной промышленности (лесозаготовка и лесопереработка)</w:t>
      </w:r>
    </w:p>
    <w:p w:rsidR="00723674" w:rsidRPr="008B4D99" w:rsidRDefault="00723674" w:rsidP="002E0AB7">
      <w:pPr>
        <w:spacing w:before="100" w:beforeAutospacing="1" w:after="100" w:afterAutospacing="1" w:line="240" w:lineRule="auto"/>
        <w:rPr>
          <w:rFonts w:ascii="Times New Roman" w:hAnsi="Times New Roman"/>
          <w:sz w:val="24"/>
          <w:szCs w:val="24"/>
          <w:lang w:eastAsia="ru-RU"/>
        </w:rPr>
      </w:pPr>
      <w:r w:rsidRPr="008B4D99">
        <w:rPr>
          <w:rFonts w:ascii="Times New Roman" w:hAnsi="Times New Roman"/>
          <w:sz w:val="24"/>
          <w:szCs w:val="24"/>
          <w:lang w:eastAsia="ru-RU"/>
        </w:rPr>
        <w:t>2.6 Государственные услуги в сфере недвижимости</w:t>
      </w:r>
    </w:p>
    <w:p w:rsidR="00723674" w:rsidRPr="008B4D99" w:rsidRDefault="00723674" w:rsidP="002E0AB7">
      <w:pPr>
        <w:spacing w:before="100" w:beforeAutospacing="1" w:after="100" w:afterAutospacing="1" w:line="240" w:lineRule="auto"/>
        <w:rPr>
          <w:rFonts w:ascii="Times New Roman" w:hAnsi="Times New Roman"/>
          <w:sz w:val="24"/>
          <w:szCs w:val="24"/>
          <w:lang w:eastAsia="ru-RU"/>
        </w:rPr>
      </w:pPr>
      <w:r w:rsidRPr="008B4D99">
        <w:rPr>
          <w:rFonts w:ascii="Times New Roman" w:hAnsi="Times New Roman"/>
          <w:sz w:val="24"/>
          <w:szCs w:val="24"/>
          <w:lang w:eastAsia="ru-RU"/>
        </w:rPr>
        <w:t>2.7 Массовые государственные услуги для граждан (ФМС и ГИБДД)</w:t>
      </w:r>
    </w:p>
    <w:p w:rsidR="00723674" w:rsidRPr="008B4D99" w:rsidRDefault="00723674" w:rsidP="002E0AB7">
      <w:pPr>
        <w:spacing w:before="100" w:beforeAutospacing="1" w:after="100" w:afterAutospacing="1" w:line="240" w:lineRule="auto"/>
        <w:rPr>
          <w:rFonts w:ascii="Times New Roman" w:hAnsi="Times New Roman"/>
          <w:sz w:val="24"/>
          <w:szCs w:val="24"/>
          <w:lang w:eastAsia="ru-RU"/>
        </w:rPr>
      </w:pPr>
      <w:r w:rsidRPr="008B4D99">
        <w:rPr>
          <w:rFonts w:ascii="Times New Roman" w:hAnsi="Times New Roman"/>
          <w:sz w:val="24"/>
          <w:szCs w:val="24"/>
          <w:lang w:eastAsia="ru-RU"/>
        </w:rPr>
        <w:t xml:space="preserve">Заключение. Предложения по организации мониторинга на постоянной основе </w:t>
      </w:r>
    </w:p>
    <w:p w:rsidR="00723674" w:rsidRPr="008B4D99" w:rsidRDefault="00723674" w:rsidP="002E0AB7">
      <w:pPr>
        <w:spacing w:before="100" w:beforeAutospacing="1" w:after="100" w:afterAutospacing="1" w:line="240" w:lineRule="auto"/>
        <w:rPr>
          <w:rFonts w:ascii="Times New Roman" w:hAnsi="Times New Roman"/>
          <w:sz w:val="24"/>
          <w:szCs w:val="24"/>
          <w:lang w:eastAsia="ru-RU"/>
        </w:rPr>
      </w:pPr>
      <w:r w:rsidRPr="008B4D99">
        <w:rPr>
          <w:rFonts w:ascii="Times New Roman" w:hAnsi="Times New Roman"/>
          <w:sz w:val="24"/>
          <w:szCs w:val="24"/>
          <w:lang w:eastAsia="ru-RU"/>
        </w:rPr>
        <w:t>Приложение 1. Фактологические данные о стоимости и затратах времени на получение отдельных государственных услуг в региональном разрезе</w:t>
      </w:r>
    </w:p>
    <w:p w:rsidR="00723674" w:rsidRPr="008B4D99" w:rsidRDefault="00723674" w:rsidP="002E0AB7">
      <w:pPr>
        <w:spacing w:before="100" w:beforeAutospacing="1" w:after="100" w:afterAutospacing="1" w:line="240" w:lineRule="auto"/>
        <w:rPr>
          <w:rFonts w:ascii="Times New Roman" w:hAnsi="Times New Roman"/>
          <w:sz w:val="24"/>
          <w:szCs w:val="24"/>
          <w:lang w:eastAsia="ru-RU"/>
        </w:rPr>
      </w:pPr>
      <w:r w:rsidRPr="008B4D99">
        <w:rPr>
          <w:rFonts w:ascii="Times New Roman" w:hAnsi="Times New Roman"/>
          <w:sz w:val="24"/>
          <w:szCs w:val="24"/>
          <w:lang w:eastAsia="ru-RU"/>
        </w:rPr>
        <w:t>П1. Регистрация юридического лица</w:t>
      </w:r>
    </w:p>
    <w:p w:rsidR="00723674" w:rsidRPr="008B4D99" w:rsidRDefault="00723674" w:rsidP="002E0AB7">
      <w:pPr>
        <w:spacing w:before="100" w:beforeAutospacing="1" w:after="100" w:afterAutospacing="1" w:line="240" w:lineRule="auto"/>
        <w:rPr>
          <w:rFonts w:ascii="Times New Roman" w:hAnsi="Times New Roman"/>
          <w:sz w:val="24"/>
          <w:szCs w:val="24"/>
          <w:lang w:eastAsia="ru-RU"/>
        </w:rPr>
      </w:pPr>
      <w:r w:rsidRPr="008B4D99">
        <w:rPr>
          <w:rFonts w:ascii="Times New Roman" w:hAnsi="Times New Roman"/>
          <w:sz w:val="24"/>
          <w:szCs w:val="24"/>
          <w:lang w:eastAsia="ru-RU"/>
        </w:rPr>
        <w:t>П2. Строительство многоквартирного жилого дома</w:t>
      </w:r>
    </w:p>
    <w:p w:rsidR="00723674" w:rsidRPr="008B4D99" w:rsidRDefault="00723674" w:rsidP="002E0AB7">
      <w:pPr>
        <w:spacing w:before="100" w:beforeAutospacing="1" w:after="100" w:afterAutospacing="1" w:line="240" w:lineRule="auto"/>
        <w:rPr>
          <w:rFonts w:ascii="Times New Roman" w:hAnsi="Times New Roman"/>
          <w:sz w:val="24"/>
          <w:szCs w:val="24"/>
          <w:lang w:eastAsia="ru-RU"/>
        </w:rPr>
      </w:pPr>
      <w:r w:rsidRPr="008B4D99">
        <w:rPr>
          <w:rFonts w:ascii="Times New Roman" w:hAnsi="Times New Roman"/>
          <w:sz w:val="24"/>
          <w:szCs w:val="24"/>
          <w:lang w:eastAsia="ru-RU"/>
        </w:rPr>
        <w:t xml:space="preserve">П3. Аккредитация организаций, осуществляющих деятельность по оценке соответствия </w:t>
      </w:r>
    </w:p>
    <w:p w:rsidR="00723674" w:rsidRPr="008B4D99" w:rsidRDefault="00723674" w:rsidP="002E0AB7">
      <w:pPr>
        <w:spacing w:before="100" w:beforeAutospacing="1" w:after="100" w:afterAutospacing="1" w:line="240" w:lineRule="auto"/>
        <w:rPr>
          <w:rFonts w:ascii="Times New Roman" w:hAnsi="Times New Roman"/>
          <w:sz w:val="24"/>
          <w:szCs w:val="24"/>
          <w:lang w:eastAsia="ru-RU"/>
        </w:rPr>
      </w:pPr>
      <w:r w:rsidRPr="008B4D99">
        <w:rPr>
          <w:rFonts w:ascii="Times New Roman" w:hAnsi="Times New Roman"/>
          <w:sz w:val="24"/>
          <w:szCs w:val="24"/>
          <w:lang w:eastAsia="ru-RU"/>
        </w:rPr>
        <w:t xml:space="preserve">П4. Открытие предприятия пищевой промышленности </w:t>
      </w:r>
    </w:p>
    <w:p w:rsidR="00723674" w:rsidRPr="008B4D99" w:rsidRDefault="00723674" w:rsidP="002E0AB7">
      <w:pPr>
        <w:spacing w:before="100" w:beforeAutospacing="1" w:after="100" w:afterAutospacing="1" w:line="240" w:lineRule="auto"/>
        <w:rPr>
          <w:rFonts w:ascii="Times New Roman" w:hAnsi="Times New Roman"/>
          <w:sz w:val="24"/>
          <w:szCs w:val="24"/>
          <w:lang w:eastAsia="ru-RU"/>
        </w:rPr>
      </w:pPr>
      <w:r w:rsidRPr="008B4D99">
        <w:rPr>
          <w:rFonts w:ascii="Times New Roman" w:hAnsi="Times New Roman"/>
          <w:sz w:val="24"/>
          <w:szCs w:val="24"/>
          <w:lang w:eastAsia="ru-RU"/>
        </w:rPr>
        <w:t>П5. Открытие предприятия лесной промышленности (лесозаготовка и лесопереработка)</w:t>
      </w:r>
    </w:p>
    <w:p w:rsidR="00723674" w:rsidRPr="008B4D99" w:rsidRDefault="00723674" w:rsidP="002E0AB7">
      <w:pPr>
        <w:spacing w:before="100" w:beforeAutospacing="1" w:after="100" w:afterAutospacing="1" w:line="240" w:lineRule="auto"/>
        <w:rPr>
          <w:rFonts w:ascii="Times New Roman" w:hAnsi="Times New Roman"/>
          <w:sz w:val="24"/>
          <w:szCs w:val="24"/>
          <w:lang w:eastAsia="ru-RU"/>
        </w:rPr>
      </w:pPr>
      <w:r w:rsidRPr="008B4D99">
        <w:rPr>
          <w:rFonts w:ascii="Times New Roman" w:hAnsi="Times New Roman"/>
          <w:sz w:val="24"/>
          <w:szCs w:val="24"/>
          <w:lang w:eastAsia="ru-RU"/>
        </w:rPr>
        <w:t>П6. Государственные услуги в сфере недвижимости</w:t>
      </w:r>
    </w:p>
    <w:p w:rsidR="00723674" w:rsidRPr="008B4D99" w:rsidRDefault="00723674" w:rsidP="00823A23">
      <w:pPr>
        <w:rPr>
          <w:rFonts w:ascii="Times New Roman" w:hAnsi="Times New Roman"/>
          <w:b/>
          <w:bCs/>
          <w:sz w:val="24"/>
          <w:szCs w:val="24"/>
        </w:rPr>
      </w:pPr>
      <w:bookmarkStart w:id="0" w:name="_Toc286314958"/>
      <w:r w:rsidRPr="008B4D99">
        <w:rPr>
          <w:rFonts w:ascii="Times New Roman" w:hAnsi="Times New Roman"/>
          <w:b/>
          <w:bCs/>
          <w:sz w:val="24"/>
          <w:szCs w:val="24"/>
        </w:rPr>
        <w:t>Предисловие</w:t>
      </w:r>
      <w:bookmarkEnd w:id="0"/>
    </w:p>
    <w:p w:rsidR="00723674" w:rsidRPr="008B4D99" w:rsidRDefault="00723674" w:rsidP="00823A23">
      <w:pPr>
        <w:rPr>
          <w:rFonts w:ascii="Times New Roman" w:hAnsi="Times New Roman"/>
          <w:sz w:val="24"/>
          <w:szCs w:val="24"/>
        </w:rPr>
      </w:pPr>
      <w:r w:rsidRPr="008B4D99">
        <w:rPr>
          <w:rFonts w:ascii="Times New Roman" w:hAnsi="Times New Roman"/>
          <w:sz w:val="24"/>
          <w:szCs w:val="24"/>
        </w:rPr>
        <w:t xml:space="preserve">За последнее время в рамках реализации мероприятий административной реформы было принято много решений, направленных на совершенствование порядка предоставления государственных услуг. Однако оценка последствий реализации этих решений для получателей услуг на систематической основе не велась или проводилась на качественном уровне. </w:t>
      </w:r>
    </w:p>
    <w:p w:rsidR="00723674" w:rsidRPr="008B4D99" w:rsidRDefault="00723674" w:rsidP="00823A23">
      <w:pPr>
        <w:rPr>
          <w:rFonts w:ascii="Times New Roman" w:hAnsi="Times New Roman"/>
          <w:sz w:val="24"/>
          <w:szCs w:val="24"/>
        </w:rPr>
      </w:pPr>
      <w:r w:rsidRPr="008B4D99">
        <w:rPr>
          <w:rFonts w:ascii="Times New Roman" w:hAnsi="Times New Roman"/>
          <w:sz w:val="24"/>
          <w:szCs w:val="24"/>
        </w:rPr>
        <w:t>Мониторинг государственных услуг, проведенный в 2010 году, позволил получить количественные оценки масштабов административного бремени граждан и бизнеса. Это бремя выражено в таких осязаемых и понятных параметрах, как  количество обращений в органы власти и подведомственные организации, реальная стоимость каждого из этих обращений, затраты времени в очередях и на ожидание получения результата. В перспективе, анализ этих показателей в динамике позволит оценивать последствия решений по реформированию  государственного управления.</w:t>
      </w:r>
    </w:p>
    <w:p w:rsidR="00723674" w:rsidRPr="008B4D99" w:rsidRDefault="00723674" w:rsidP="00823A23">
      <w:pPr>
        <w:rPr>
          <w:rFonts w:ascii="Times New Roman" w:hAnsi="Times New Roman"/>
          <w:sz w:val="24"/>
          <w:szCs w:val="24"/>
        </w:rPr>
      </w:pPr>
      <w:r w:rsidRPr="008B4D99">
        <w:rPr>
          <w:rFonts w:ascii="Times New Roman" w:hAnsi="Times New Roman"/>
          <w:sz w:val="24"/>
          <w:szCs w:val="24"/>
        </w:rPr>
        <w:t>В ходе мониторинга использовались различные методы – от глубинных интервью и опросов, до «контрольных закупок». Анализировался весь  комплекс обращений, необходимых для получения конечного результата той или иной услуги.</w:t>
      </w:r>
    </w:p>
    <w:p w:rsidR="00723674" w:rsidRPr="008B4D99" w:rsidRDefault="00723674" w:rsidP="00823A23">
      <w:pPr>
        <w:rPr>
          <w:rFonts w:ascii="Times New Roman" w:hAnsi="Times New Roman"/>
          <w:sz w:val="24"/>
          <w:szCs w:val="24"/>
        </w:rPr>
      </w:pPr>
      <w:r w:rsidRPr="008B4D99">
        <w:rPr>
          <w:rFonts w:ascii="Times New Roman" w:hAnsi="Times New Roman"/>
          <w:sz w:val="24"/>
          <w:szCs w:val="24"/>
        </w:rPr>
        <w:t xml:space="preserve">Мониторинг позволил выявить наиболее острые проблемы, решению которых необходимо уделить наибольшее внимание в ближайшей перспективе. Например, для бизнеса эти проблемы связаны не столько с затратами и количеством необходимых обращений в органы власти и организации (хотя и это существенно), сколько с продолжительностью сроков предоставления государственной услуги и неопределенностью их результатов. Среднее время обращений для получения исследованных в ходе мониторинга государственных услуг для бизнеса составляет более года – 371 день, а время для бизнеса – это деньги и конкурентоспособность. </w:t>
      </w:r>
    </w:p>
    <w:p w:rsidR="00723674" w:rsidRPr="008B4D99" w:rsidRDefault="00723674" w:rsidP="00823A23">
      <w:pPr>
        <w:rPr>
          <w:rFonts w:ascii="Times New Roman" w:hAnsi="Times New Roman"/>
          <w:sz w:val="24"/>
          <w:szCs w:val="24"/>
        </w:rPr>
      </w:pPr>
      <w:r w:rsidRPr="008B4D99">
        <w:rPr>
          <w:rFonts w:ascii="Times New Roman" w:hAnsi="Times New Roman"/>
          <w:sz w:val="24"/>
          <w:szCs w:val="24"/>
        </w:rPr>
        <w:t>Что особенно важно, бизнес не в состоянии прогнозировать конечный результат взаимодействий даже по самым простым обращениям. Сколько времени займет рассмотрение документов, сколько будет случаев возврата документов по формальным, иногда надуманным основаниям, например, по причине неправильно расставленных запятых – все это становится для бизнеса фактором риска, следовательно, снижения доходности.</w:t>
      </w:r>
    </w:p>
    <w:p w:rsidR="00723674" w:rsidRPr="008B4D99" w:rsidRDefault="00723674" w:rsidP="00823A23">
      <w:pPr>
        <w:rPr>
          <w:rFonts w:ascii="Times New Roman" w:hAnsi="Times New Roman"/>
          <w:sz w:val="24"/>
          <w:szCs w:val="24"/>
        </w:rPr>
      </w:pPr>
      <w:r w:rsidRPr="008B4D99">
        <w:rPr>
          <w:rFonts w:ascii="Times New Roman" w:hAnsi="Times New Roman"/>
          <w:sz w:val="24"/>
          <w:szCs w:val="24"/>
        </w:rPr>
        <w:t xml:space="preserve">Уровень риска и вероятности дополнительных издержек возрастает, если в процессе предоставления государственной услуги участвуют подведомственные или иные организации разной степени аффилированности с органами власти, особенно если эти организации занимают монопольное положение в рамках определенной административной процедуры. Участие аффилированных организаций приводит к тому, что непредсказуемыми становятся не только сроки и конечная стоимость необходимой государственной услуги, но и сама возможность реализации выбранного бизнес проекта или даже в целом ведения бизнеса. </w:t>
      </w:r>
    </w:p>
    <w:p w:rsidR="00723674" w:rsidRPr="008B4D99" w:rsidRDefault="00723674" w:rsidP="00823A23">
      <w:pPr>
        <w:rPr>
          <w:rFonts w:ascii="Times New Roman" w:hAnsi="Times New Roman"/>
          <w:sz w:val="24"/>
          <w:szCs w:val="24"/>
        </w:rPr>
      </w:pPr>
      <w:r w:rsidRPr="008B4D99">
        <w:rPr>
          <w:rFonts w:ascii="Times New Roman" w:hAnsi="Times New Roman"/>
          <w:sz w:val="24"/>
          <w:szCs w:val="24"/>
        </w:rPr>
        <w:t>Указанная проблема достаточно масштабна, поскольку на подведомственные и аффилированные организации приходится 40% обращений и почти 75% расходов, связанных с получением государственной услуги. При этом в среднем исследованные государственные услуги для бизнеса предполагают 8 обращений, включая обращения в различные организации.</w:t>
      </w:r>
    </w:p>
    <w:p w:rsidR="00723674" w:rsidRPr="008B4D99" w:rsidRDefault="00723674" w:rsidP="00823A23">
      <w:pPr>
        <w:rPr>
          <w:rFonts w:ascii="Times New Roman" w:hAnsi="Times New Roman"/>
          <w:sz w:val="24"/>
          <w:szCs w:val="24"/>
        </w:rPr>
      </w:pPr>
      <w:r w:rsidRPr="008B4D99">
        <w:rPr>
          <w:rFonts w:ascii="Times New Roman" w:hAnsi="Times New Roman"/>
          <w:sz w:val="24"/>
          <w:szCs w:val="24"/>
        </w:rPr>
        <w:t xml:space="preserve">Очевидно, что при реализации планов повышения качества государственных услуг для бизнеса необходимо установить нормативы предельных сроков и стоимости государственных услуг, особенно если получение услуги предполагает обращение в подведомственные или экспертные организации. </w:t>
      </w:r>
    </w:p>
    <w:p w:rsidR="00723674" w:rsidRPr="008B4D99" w:rsidRDefault="00723674" w:rsidP="00823A23">
      <w:pPr>
        <w:rPr>
          <w:rFonts w:ascii="Times New Roman" w:hAnsi="Times New Roman"/>
          <w:sz w:val="24"/>
          <w:szCs w:val="24"/>
        </w:rPr>
      </w:pPr>
    </w:p>
    <w:p w:rsidR="00723674" w:rsidRPr="008B4D99" w:rsidRDefault="00723674" w:rsidP="00823A23">
      <w:pPr>
        <w:rPr>
          <w:rFonts w:ascii="Times New Roman" w:hAnsi="Times New Roman"/>
          <w:sz w:val="24"/>
          <w:szCs w:val="24"/>
        </w:rPr>
      </w:pPr>
      <w:r w:rsidRPr="008B4D99">
        <w:rPr>
          <w:rFonts w:ascii="Times New Roman" w:hAnsi="Times New Roman"/>
          <w:sz w:val="24"/>
          <w:szCs w:val="24"/>
        </w:rPr>
        <w:t>Отдельно следует отметить обращения к организациям – посредникам. Основная причина таких обращений связана с нечеткостью, запутанностью требований, предъявляемых государством. Посредники помогают при подготовке заявки, получении результата услуги и даже в последующем прохождении контрольных процедур. Было бы целесообразно обязать ведомства публиковать в свободном доступе исчерпывающий перечень требований  к получателям государственных услуг. Возможно, вы этом случае необходимость обращения к посредникам снизилась.</w:t>
      </w:r>
    </w:p>
    <w:p w:rsidR="00723674" w:rsidRPr="008B4D99" w:rsidRDefault="00723674" w:rsidP="00823A23">
      <w:pPr>
        <w:rPr>
          <w:rFonts w:ascii="Times New Roman" w:hAnsi="Times New Roman"/>
          <w:sz w:val="24"/>
          <w:szCs w:val="24"/>
        </w:rPr>
      </w:pPr>
      <w:r w:rsidRPr="008B4D99">
        <w:rPr>
          <w:rFonts w:ascii="Times New Roman" w:hAnsi="Times New Roman"/>
          <w:sz w:val="24"/>
          <w:szCs w:val="24"/>
        </w:rPr>
        <w:t>Крайне актуальным является реализация запрета требовать у заявителя документы, имеющиеся у других ведомств. Как известно, с 1 июля 2011 года этого требует соответствующая норма федерального закона о порядке оказания государственных услугах. Однако готовность федеральных органов к исполнению данной нормы на конец 2010 годы была минимальной. По большинству сфер общественных отношений отсутствуют целостные системы информационного взаимодействия, единые базы данных, межведомственные регламенты.</w:t>
      </w:r>
    </w:p>
    <w:p w:rsidR="00723674" w:rsidRPr="008B4D99" w:rsidRDefault="00723674" w:rsidP="00823A23">
      <w:pPr>
        <w:rPr>
          <w:rFonts w:ascii="Times New Roman" w:hAnsi="Times New Roman"/>
          <w:sz w:val="24"/>
          <w:szCs w:val="24"/>
        </w:rPr>
      </w:pPr>
      <w:r w:rsidRPr="008B4D99">
        <w:rPr>
          <w:rFonts w:ascii="Times New Roman" w:hAnsi="Times New Roman"/>
          <w:sz w:val="24"/>
          <w:szCs w:val="24"/>
        </w:rPr>
        <w:t>Одной из целей мониторинга была оценка неформальных, т.е. не имеющих документального подтверждения, платежей, платежей «в конвертах». Оказалось, что наиболее сложными для доступа сферами с максимальным объемом неформальных платежей являются отрасли, где необходимо использование ограниченного ресурса – земли, лесных ресурсов, радиочастотного спектра, коммунальной инфраструктуры. Этот результат полностью совпал с изначальной гипотезой мониторингового исследования. В этом не было ничего удивительного, поскольку рента, включая ренту бюрократическую, образуется как раз при распределении ограниченного ресурса.</w:t>
      </w:r>
    </w:p>
    <w:p w:rsidR="00723674" w:rsidRPr="008B4D99" w:rsidRDefault="00723674" w:rsidP="00823A23">
      <w:pPr>
        <w:rPr>
          <w:rFonts w:ascii="Times New Roman" w:hAnsi="Times New Roman"/>
          <w:sz w:val="24"/>
          <w:szCs w:val="24"/>
        </w:rPr>
      </w:pPr>
      <w:r w:rsidRPr="008B4D99">
        <w:rPr>
          <w:rFonts w:ascii="Times New Roman" w:hAnsi="Times New Roman"/>
          <w:sz w:val="24"/>
          <w:szCs w:val="24"/>
        </w:rPr>
        <w:t xml:space="preserve">Доступ к ограниченным ресурсам - чрезвычайно затратная часть любого бизнес-проекта. Так, затраты на подключение к коммунальной инфраструктуре при строительстве многоквартирного жилого дома составляют в среднем по исследованным регионам 30 миллионов рублей, а затраты на получение государственных услуг – всего 1,5 миллиона. </w:t>
      </w:r>
    </w:p>
    <w:p w:rsidR="00723674" w:rsidRPr="008B4D99" w:rsidRDefault="00723674" w:rsidP="00823A23">
      <w:pPr>
        <w:rPr>
          <w:rFonts w:ascii="Times New Roman" w:hAnsi="Times New Roman"/>
          <w:sz w:val="24"/>
          <w:szCs w:val="24"/>
        </w:rPr>
      </w:pPr>
      <w:r w:rsidRPr="008B4D99">
        <w:rPr>
          <w:rFonts w:ascii="Times New Roman" w:hAnsi="Times New Roman"/>
          <w:sz w:val="24"/>
          <w:szCs w:val="24"/>
        </w:rPr>
        <w:t>Соответственно, при определении приоритетов и проведении реинжиниринга государственных услуг учитывать в первую очередь государственные услуги, регулирующие доступ к ограниченным ресурсам.</w:t>
      </w:r>
    </w:p>
    <w:p w:rsidR="00723674" w:rsidRPr="008B4D99" w:rsidRDefault="00723674" w:rsidP="00823A23">
      <w:pPr>
        <w:rPr>
          <w:rFonts w:ascii="Times New Roman" w:hAnsi="Times New Roman"/>
          <w:sz w:val="24"/>
          <w:szCs w:val="24"/>
        </w:rPr>
      </w:pPr>
    </w:p>
    <w:p w:rsidR="00723674" w:rsidRPr="008B4D99" w:rsidRDefault="00723674" w:rsidP="00823A23">
      <w:pPr>
        <w:rPr>
          <w:rFonts w:ascii="Times New Roman" w:hAnsi="Times New Roman"/>
          <w:sz w:val="24"/>
          <w:szCs w:val="24"/>
        </w:rPr>
      </w:pPr>
      <w:r w:rsidRPr="008B4D99">
        <w:rPr>
          <w:rFonts w:ascii="Times New Roman" w:hAnsi="Times New Roman"/>
          <w:sz w:val="24"/>
          <w:szCs w:val="24"/>
        </w:rPr>
        <w:t xml:space="preserve">Что касается государственных услуг оказываемых органами власти гражданам, то здесь ситуация иная. Массовые «гражданские» услуги, как правило, относительно дешевы, их реальная стоимость в подавляющем большинстве случаев равна пошлине (средняя стоимость по результатам мониторинга – 800 рублей). Как правило, такие услуги предоставляются в установленный в законодательстве срок (по результатам мониторинга в среднем за 2 недели).  </w:t>
      </w:r>
    </w:p>
    <w:p w:rsidR="00723674" w:rsidRPr="008B4D99" w:rsidRDefault="00723674" w:rsidP="00823A23">
      <w:pPr>
        <w:rPr>
          <w:rFonts w:ascii="Times New Roman" w:hAnsi="Times New Roman"/>
          <w:sz w:val="24"/>
          <w:szCs w:val="24"/>
        </w:rPr>
      </w:pPr>
      <w:r w:rsidRPr="008B4D99">
        <w:rPr>
          <w:rFonts w:ascii="Times New Roman" w:hAnsi="Times New Roman"/>
          <w:sz w:val="24"/>
          <w:szCs w:val="24"/>
        </w:rPr>
        <w:t>Главная проблема массовых услуг для граждан – это несоблюдение стандартов обслуживания и, прежде всего, очереди. Среднее время ожидания подачи документов по результатам обследований составило 55 минут. Только по 5 наиболее массовым государственным услугам</w:t>
      </w:r>
      <w:r w:rsidRPr="008B4D99">
        <w:rPr>
          <w:rFonts w:ascii="Times New Roman" w:hAnsi="Times New Roman"/>
          <w:sz w:val="24"/>
          <w:szCs w:val="24"/>
          <w:vertAlign w:val="superscript"/>
        </w:rPr>
        <w:footnoteReference w:id="2"/>
      </w:r>
      <w:r w:rsidRPr="008B4D99">
        <w:rPr>
          <w:rFonts w:ascii="Times New Roman" w:hAnsi="Times New Roman"/>
          <w:sz w:val="24"/>
          <w:szCs w:val="24"/>
        </w:rPr>
        <w:t xml:space="preserve"> суммарные потери граждан от очередей можно оценить примерно в 1,5-2 млрд. рублей в год. Поэтому вложения в улучшение стандартов обслуживания, развитие электронного взаимодействия, реинжиниринг, позволяющий сократить поток заявителей и время обслуживания одного клиента являются оправданными не только с социальной, но и с экономической точки зрения.</w:t>
      </w:r>
    </w:p>
    <w:p w:rsidR="00723674" w:rsidRPr="008B4D99" w:rsidRDefault="00723674" w:rsidP="00823A23">
      <w:pPr>
        <w:rPr>
          <w:rFonts w:ascii="Times New Roman" w:hAnsi="Times New Roman"/>
          <w:sz w:val="24"/>
          <w:szCs w:val="24"/>
        </w:rPr>
      </w:pPr>
      <w:r w:rsidRPr="008B4D99">
        <w:rPr>
          <w:rFonts w:ascii="Times New Roman" w:hAnsi="Times New Roman"/>
          <w:sz w:val="24"/>
          <w:szCs w:val="24"/>
        </w:rPr>
        <w:t xml:space="preserve">Проведенный мониторинг не только выявил проблемы, определил узкие места, но и позволил обосновать направления дальнейших шагов по расширению доступности и повышению качества государственных услуг. Представляется, что оценка затрат получателей государственных услуг «до оптимизации» и «после оптимизации» должна стать устойчивой практикой при принятии решений по модернизации административных процессов и совершенствованию нормативной базы.  </w:t>
      </w:r>
    </w:p>
    <w:p w:rsidR="00723674" w:rsidRPr="008B4D99" w:rsidRDefault="00723674" w:rsidP="00823A23">
      <w:pPr>
        <w:rPr>
          <w:rFonts w:ascii="Times New Roman" w:hAnsi="Times New Roman"/>
          <w:sz w:val="24"/>
          <w:szCs w:val="24"/>
        </w:rPr>
      </w:pPr>
    </w:p>
    <w:p w:rsidR="00723674" w:rsidRPr="008B4D99" w:rsidRDefault="00723674" w:rsidP="00823A23">
      <w:pPr>
        <w:rPr>
          <w:rFonts w:ascii="Times New Roman" w:hAnsi="Times New Roman"/>
          <w:i/>
          <w:sz w:val="24"/>
          <w:szCs w:val="24"/>
        </w:rPr>
      </w:pPr>
      <w:r w:rsidRPr="008B4D99">
        <w:rPr>
          <w:rFonts w:ascii="Times New Roman" w:hAnsi="Times New Roman"/>
          <w:i/>
          <w:sz w:val="24"/>
          <w:szCs w:val="24"/>
        </w:rPr>
        <w:t>Кузьминов Я.И., ректор Национального исследовательского университета</w:t>
      </w:r>
    </w:p>
    <w:p w:rsidR="00723674" w:rsidRPr="008B4D99" w:rsidRDefault="00723674" w:rsidP="00823A23">
      <w:pPr>
        <w:rPr>
          <w:rFonts w:ascii="Times New Roman" w:hAnsi="Times New Roman"/>
          <w:i/>
          <w:sz w:val="24"/>
          <w:szCs w:val="24"/>
        </w:rPr>
      </w:pPr>
      <w:r w:rsidRPr="008B4D99">
        <w:rPr>
          <w:rFonts w:ascii="Times New Roman" w:hAnsi="Times New Roman"/>
          <w:i/>
          <w:sz w:val="24"/>
          <w:szCs w:val="24"/>
        </w:rPr>
        <w:t>«Высшая школа экономики»</w:t>
      </w:r>
    </w:p>
    <w:p w:rsidR="00723674" w:rsidRPr="008B4D99" w:rsidRDefault="00723674" w:rsidP="00823A23">
      <w:pPr>
        <w:rPr>
          <w:rFonts w:ascii="Times New Roman" w:hAnsi="Times New Roman"/>
          <w:sz w:val="24"/>
          <w:szCs w:val="24"/>
        </w:rPr>
      </w:pPr>
    </w:p>
    <w:p w:rsidR="00723674" w:rsidRPr="008B4D99" w:rsidRDefault="00723674" w:rsidP="00823A23">
      <w:pPr>
        <w:rPr>
          <w:rFonts w:ascii="Times New Roman" w:hAnsi="Times New Roman"/>
          <w:b/>
          <w:bCs/>
          <w:sz w:val="24"/>
          <w:szCs w:val="24"/>
        </w:rPr>
      </w:pPr>
      <w:bookmarkStart w:id="1" w:name="_Toc286314959"/>
      <w:r w:rsidRPr="008B4D99">
        <w:rPr>
          <w:rFonts w:ascii="Times New Roman" w:hAnsi="Times New Roman"/>
          <w:b/>
          <w:bCs/>
          <w:sz w:val="24"/>
          <w:szCs w:val="24"/>
        </w:rPr>
        <w:t>Введение</w:t>
      </w:r>
      <w:bookmarkEnd w:id="1"/>
    </w:p>
    <w:p w:rsidR="00723674" w:rsidRPr="008B4D99" w:rsidRDefault="00723674" w:rsidP="00823A23">
      <w:pPr>
        <w:rPr>
          <w:rFonts w:ascii="Times New Roman" w:hAnsi="Times New Roman"/>
          <w:sz w:val="24"/>
          <w:szCs w:val="24"/>
        </w:rPr>
      </w:pPr>
    </w:p>
    <w:p w:rsidR="00723674" w:rsidRPr="008B4D99" w:rsidRDefault="00723674" w:rsidP="00823A23">
      <w:pPr>
        <w:rPr>
          <w:rFonts w:ascii="Times New Roman" w:hAnsi="Times New Roman"/>
          <w:sz w:val="24"/>
          <w:szCs w:val="24"/>
        </w:rPr>
      </w:pPr>
      <w:r w:rsidRPr="008B4D99">
        <w:rPr>
          <w:rFonts w:ascii="Times New Roman" w:hAnsi="Times New Roman"/>
          <w:sz w:val="24"/>
          <w:szCs w:val="24"/>
        </w:rPr>
        <w:t xml:space="preserve">Исследование проблем предоставления отдельных государственных услуг является широко распространенной практикой в экспертном сообществе, в том числе в Государственном университете – Высшей школе экономики. Однако, как правило, подобные исследования, во-первых, фокусируются на одной конкретной государственной услуге (государственной функции), а во-вторых, предполагают качественные оценки «проблемности» рассматриваемой услуги. </w:t>
      </w:r>
    </w:p>
    <w:p w:rsidR="00723674" w:rsidRPr="008B4D99" w:rsidRDefault="00723674" w:rsidP="00823A23">
      <w:pPr>
        <w:rPr>
          <w:rFonts w:ascii="Times New Roman" w:hAnsi="Times New Roman"/>
          <w:sz w:val="24"/>
          <w:szCs w:val="24"/>
        </w:rPr>
      </w:pPr>
      <w:r w:rsidRPr="008B4D99">
        <w:rPr>
          <w:rFonts w:ascii="Times New Roman" w:hAnsi="Times New Roman"/>
          <w:sz w:val="24"/>
          <w:szCs w:val="24"/>
        </w:rPr>
        <w:t>Между тем, в большинстве случаев для получения конечного результата взаимодействия с государством заявителю необходимо пройти через несколько обращений в органы власти разного уровня и в различные подведомственные, аффилированные и прочие организации</w:t>
      </w:r>
      <w:r w:rsidRPr="008B4D99">
        <w:rPr>
          <w:rFonts w:ascii="Times New Roman" w:hAnsi="Times New Roman"/>
          <w:sz w:val="24"/>
          <w:szCs w:val="24"/>
          <w:vertAlign w:val="superscript"/>
        </w:rPr>
        <w:footnoteReference w:id="3"/>
      </w:r>
      <w:r w:rsidRPr="008B4D99">
        <w:rPr>
          <w:rFonts w:ascii="Times New Roman" w:hAnsi="Times New Roman"/>
          <w:sz w:val="24"/>
          <w:szCs w:val="24"/>
        </w:rPr>
        <w:t xml:space="preserve">. </w:t>
      </w:r>
    </w:p>
    <w:p w:rsidR="00723674" w:rsidRPr="008B4D99" w:rsidRDefault="00723674" w:rsidP="00823A23">
      <w:pPr>
        <w:rPr>
          <w:rFonts w:ascii="Times New Roman" w:hAnsi="Times New Roman"/>
          <w:sz w:val="24"/>
          <w:szCs w:val="24"/>
        </w:rPr>
      </w:pPr>
      <w:r w:rsidRPr="008B4D99">
        <w:rPr>
          <w:rFonts w:ascii="Times New Roman" w:hAnsi="Times New Roman"/>
          <w:sz w:val="24"/>
          <w:szCs w:val="24"/>
        </w:rPr>
        <w:t xml:space="preserve">В этой публикации представляются результаты мониторинга качества и доступности государственных услуг, проведенный ГУ-ВШЭ в 2010 году. Отличительными особенностями мониторинга является, </w:t>
      </w:r>
    </w:p>
    <w:p w:rsidR="00723674" w:rsidRPr="008B4D99" w:rsidRDefault="00723674" w:rsidP="00823A23">
      <w:pPr>
        <w:rPr>
          <w:rFonts w:ascii="Times New Roman" w:hAnsi="Times New Roman"/>
          <w:sz w:val="24"/>
          <w:szCs w:val="24"/>
        </w:rPr>
      </w:pPr>
      <w:r w:rsidRPr="008B4D99">
        <w:rPr>
          <w:rFonts w:ascii="Times New Roman" w:hAnsi="Times New Roman"/>
          <w:sz w:val="24"/>
          <w:szCs w:val="24"/>
        </w:rPr>
        <w:t xml:space="preserve">во-первых, охват полного комплекса обращений в органы власти всех уровней и обусловленных ими обращений в подведомственные, аффилированные или иные организации, необходимых для получения конечного результата взаимодействия заявителя с государством, </w:t>
      </w:r>
    </w:p>
    <w:p w:rsidR="00723674" w:rsidRPr="008B4D99" w:rsidRDefault="00723674" w:rsidP="00823A23">
      <w:pPr>
        <w:rPr>
          <w:rFonts w:ascii="Times New Roman" w:hAnsi="Times New Roman"/>
          <w:sz w:val="24"/>
          <w:szCs w:val="24"/>
        </w:rPr>
      </w:pPr>
      <w:r w:rsidRPr="008B4D99">
        <w:rPr>
          <w:rFonts w:ascii="Times New Roman" w:hAnsi="Times New Roman"/>
          <w:sz w:val="24"/>
          <w:szCs w:val="24"/>
        </w:rPr>
        <w:t>во-вторых, анализ полных фактических временных и материальных издержек получателя государственных услуг (в целом и по каждому обращению).</w:t>
      </w:r>
    </w:p>
    <w:p w:rsidR="00723674" w:rsidRPr="008B4D99" w:rsidRDefault="00723674" w:rsidP="00823A23">
      <w:pPr>
        <w:rPr>
          <w:rFonts w:ascii="Times New Roman" w:hAnsi="Times New Roman"/>
          <w:sz w:val="24"/>
          <w:szCs w:val="24"/>
        </w:rPr>
      </w:pPr>
      <w:r w:rsidRPr="008B4D99">
        <w:rPr>
          <w:rFonts w:ascii="Times New Roman" w:hAnsi="Times New Roman"/>
          <w:sz w:val="24"/>
          <w:szCs w:val="24"/>
        </w:rPr>
        <w:t>Мониторинг 2010 г. включает в себя 19</w:t>
      </w:r>
      <w:r w:rsidRPr="008B4D99">
        <w:rPr>
          <w:rFonts w:ascii="Times New Roman" w:hAnsi="Times New Roman"/>
          <w:i/>
          <w:sz w:val="24"/>
          <w:szCs w:val="24"/>
        </w:rPr>
        <w:t xml:space="preserve"> </w:t>
      </w:r>
      <w:r w:rsidRPr="008B4D99">
        <w:rPr>
          <w:rFonts w:ascii="Times New Roman" w:hAnsi="Times New Roman"/>
          <w:sz w:val="24"/>
          <w:szCs w:val="24"/>
        </w:rPr>
        <w:t>государственных услуг для бизнеса, многие из которых носят комплексный характер (т.е. предполагают несколько обращений в различные органы власти и организации),  в том числе таких масштабных как, например, строительство многоквартирного жилого дома, создание бизнеса в отдельных отраслях, исследуемые в 16 регионах страны.  Всего по услугам для бизнеса было опрошено около 1150</w:t>
      </w:r>
      <w:r w:rsidRPr="008B4D99">
        <w:rPr>
          <w:rFonts w:ascii="Times New Roman" w:hAnsi="Times New Roman"/>
          <w:i/>
          <w:sz w:val="24"/>
          <w:szCs w:val="24"/>
        </w:rPr>
        <w:t xml:space="preserve">  </w:t>
      </w:r>
      <w:r w:rsidRPr="008B4D99">
        <w:rPr>
          <w:rFonts w:ascii="Times New Roman" w:hAnsi="Times New Roman"/>
          <w:sz w:val="24"/>
          <w:szCs w:val="24"/>
        </w:rPr>
        <w:t>респондентов.</w:t>
      </w:r>
    </w:p>
    <w:p w:rsidR="00723674" w:rsidRPr="008B4D99" w:rsidRDefault="00723674" w:rsidP="00823A23">
      <w:pPr>
        <w:rPr>
          <w:rFonts w:ascii="Times New Roman" w:hAnsi="Times New Roman"/>
          <w:sz w:val="24"/>
          <w:szCs w:val="24"/>
        </w:rPr>
      </w:pPr>
      <w:r w:rsidRPr="008B4D99">
        <w:rPr>
          <w:rFonts w:ascii="Times New Roman" w:hAnsi="Times New Roman"/>
          <w:sz w:val="24"/>
          <w:szCs w:val="24"/>
        </w:rPr>
        <w:t xml:space="preserve">Кроме того, в мониторинг включены 20 государственных услуг для граждан, в том числе наиболее массовые государственные услуги (получение паспорта, загранпаспорта, регистрация автомобиля, регистрация недвижимости), исследуемые в 16-17 регионах страны, и социально-значимые государственные услуги (например, услуги по направлению на высокотехнологическую медицинскую помощь или признание лица инвалидом), исследуемые в 7-8 регионах. Всего по услугам для граждан опрошено более 2800 респондентов. </w:t>
      </w:r>
    </w:p>
    <w:p w:rsidR="00723674" w:rsidRPr="008B4D99" w:rsidRDefault="00723674" w:rsidP="00823A23">
      <w:pPr>
        <w:rPr>
          <w:rFonts w:ascii="Times New Roman" w:hAnsi="Times New Roman"/>
          <w:sz w:val="24"/>
          <w:szCs w:val="24"/>
        </w:rPr>
      </w:pPr>
      <w:r w:rsidRPr="008B4D99">
        <w:rPr>
          <w:rFonts w:ascii="Times New Roman" w:hAnsi="Times New Roman"/>
          <w:sz w:val="24"/>
          <w:szCs w:val="24"/>
        </w:rPr>
        <w:t xml:space="preserve">По каждой из исследуемых услуг были определены перечень необходимых обращений, стоимость каждого обращения (причем выделялись не только официальные платежи, т.е. имеющие документальное подтверждение, но и неформальные плате), временные затраты на каждое обращение, выявлялись основные проблемы предоставления государственной услуги   </w:t>
      </w:r>
    </w:p>
    <w:p w:rsidR="00723674" w:rsidRPr="008B4D99" w:rsidRDefault="00723674" w:rsidP="00823A23">
      <w:pPr>
        <w:rPr>
          <w:rFonts w:ascii="Times New Roman" w:hAnsi="Times New Roman"/>
          <w:sz w:val="24"/>
          <w:szCs w:val="24"/>
        </w:rPr>
      </w:pPr>
      <w:r w:rsidRPr="008B4D99">
        <w:rPr>
          <w:rFonts w:ascii="Times New Roman" w:hAnsi="Times New Roman"/>
          <w:sz w:val="24"/>
          <w:szCs w:val="24"/>
        </w:rPr>
        <w:t xml:space="preserve">Мониторинг представляет собой сбор информации об исследуемых параметрах в ходе опросов, глубинных интервью, анкетирования получателей государственных услуг и посреднических организаций, проведения «контрольных закупок», обсуждений с представителями государственных органов в нескольких регионах России с последующим обобщением. Конкретный набор методов определялся исходя из специфики государственной услуги. </w:t>
      </w:r>
    </w:p>
    <w:p w:rsidR="00723674" w:rsidRPr="008B4D99" w:rsidRDefault="00723674" w:rsidP="00823A23">
      <w:pPr>
        <w:rPr>
          <w:rFonts w:ascii="Times New Roman" w:hAnsi="Times New Roman"/>
          <w:sz w:val="24"/>
          <w:szCs w:val="24"/>
        </w:rPr>
      </w:pPr>
      <w:r w:rsidRPr="008B4D99">
        <w:rPr>
          <w:rFonts w:ascii="Times New Roman" w:hAnsi="Times New Roman"/>
          <w:sz w:val="24"/>
          <w:szCs w:val="24"/>
        </w:rPr>
        <w:t>Первый раздел настоящей публикации содержит аналитические и обобщенные результаты мониторинга, где дается оценка существующей практики регулирования государственных услуг.</w:t>
      </w:r>
    </w:p>
    <w:p w:rsidR="00723674" w:rsidRPr="008B4D99" w:rsidRDefault="00723674" w:rsidP="00823A23">
      <w:pPr>
        <w:rPr>
          <w:rFonts w:ascii="Times New Roman" w:hAnsi="Times New Roman"/>
          <w:sz w:val="24"/>
          <w:szCs w:val="24"/>
        </w:rPr>
      </w:pPr>
      <w:r w:rsidRPr="008B4D99">
        <w:rPr>
          <w:rFonts w:ascii="Times New Roman" w:hAnsi="Times New Roman"/>
          <w:sz w:val="24"/>
          <w:szCs w:val="24"/>
        </w:rPr>
        <w:t>Во втором разделе по отдельным государственным услугам приводятся результаты мониторинга, а именно:</w:t>
      </w:r>
    </w:p>
    <w:p w:rsidR="00723674" w:rsidRPr="008B4D99" w:rsidRDefault="00723674" w:rsidP="00823A23">
      <w:pPr>
        <w:numPr>
          <w:ilvl w:val="0"/>
          <w:numId w:val="1"/>
        </w:numPr>
        <w:tabs>
          <w:tab w:val="num" w:pos="1080"/>
        </w:tabs>
        <w:rPr>
          <w:rFonts w:ascii="Times New Roman" w:hAnsi="Times New Roman"/>
          <w:sz w:val="24"/>
          <w:szCs w:val="24"/>
        </w:rPr>
      </w:pPr>
      <w:r w:rsidRPr="008B4D99">
        <w:rPr>
          <w:rFonts w:ascii="Times New Roman" w:hAnsi="Times New Roman"/>
          <w:sz w:val="24"/>
          <w:szCs w:val="24"/>
        </w:rPr>
        <w:t>«профиль регулирования» государственной услуги (краткая информация о количестве обращений, издержках их получения и их распределении между всеми тремя уровнями власти и организациями);</w:t>
      </w:r>
    </w:p>
    <w:p w:rsidR="00723674" w:rsidRPr="008B4D99" w:rsidRDefault="00723674" w:rsidP="00823A23">
      <w:pPr>
        <w:numPr>
          <w:ilvl w:val="0"/>
          <w:numId w:val="1"/>
        </w:numPr>
        <w:tabs>
          <w:tab w:val="num" w:pos="1080"/>
        </w:tabs>
        <w:rPr>
          <w:rFonts w:ascii="Times New Roman" w:hAnsi="Times New Roman"/>
          <w:sz w:val="24"/>
          <w:szCs w:val="24"/>
        </w:rPr>
      </w:pPr>
      <w:r w:rsidRPr="008B4D99">
        <w:rPr>
          <w:rFonts w:ascii="Times New Roman" w:hAnsi="Times New Roman"/>
          <w:sz w:val="24"/>
          <w:szCs w:val="24"/>
        </w:rPr>
        <w:t>модельный перечень обращений, необходимых для получения государственной услуги (в соответствии с «типовой траекторией получения услуги» / для «типового объекта наблюдения»);</w:t>
      </w:r>
    </w:p>
    <w:p w:rsidR="00723674" w:rsidRPr="008B4D99" w:rsidRDefault="00723674" w:rsidP="00823A23">
      <w:pPr>
        <w:numPr>
          <w:ilvl w:val="0"/>
          <w:numId w:val="1"/>
        </w:numPr>
        <w:tabs>
          <w:tab w:val="num" w:pos="1080"/>
        </w:tabs>
        <w:rPr>
          <w:rFonts w:ascii="Times New Roman" w:hAnsi="Times New Roman"/>
          <w:sz w:val="24"/>
          <w:szCs w:val="24"/>
        </w:rPr>
      </w:pPr>
      <w:r w:rsidRPr="008B4D99">
        <w:rPr>
          <w:rFonts w:ascii="Times New Roman" w:hAnsi="Times New Roman"/>
          <w:sz w:val="24"/>
          <w:szCs w:val="24"/>
        </w:rPr>
        <w:t>стоимость каждого обращения (в том числе по регионам исследования);</w:t>
      </w:r>
    </w:p>
    <w:p w:rsidR="00723674" w:rsidRPr="008B4D99" w:rsidRDefault="00723674" w:rsidP="00823A23">
      <w:pPr>
        <w:numPr>
          <w:ilvl w:val="0"/>
          <w:numId w:val="1"/>
        </w:numPr>
        <w:tabs>
          <w:tab w:val="num" w:pos="1080"/>
        </w:tabs>
        <w:rPr>
          <w:rFonts w:ascii="Times New Roman" w:hAnsi="Times New Roman"/>
          <w:sz w:val="24"/>
          <w:szCs w:val="24"/>
        </w:rPr>
      </w:pPr>
      <w:r w:rsidRPr="008B4D99">
        <w:rPr>
          <w:rFonts w:ascii="Times New Roman" w:hAnsi="Times New Roman"/>
          <w:sz w:val="24"/>
          <w:szCs w:val="24"/>
        </w:rPr>
        <w:t>время получения результатов каждого обращения (в том числе по регионам исследования);</w:t>
      </w:r>
    </w:p>
    <w:p w:rsidR="00723674" w:rsidRPr="008B4D99" w:rsidRDefault="00723674" w:rsidP="00823A23">
      <w:pPr>
        <w:numPr>
          <w:ilvl w:val="0"/>
          <w:numId w:val="1"/>
        </w:numPr>
        <w:tabs>
          <w:tab w:val="num" w:pos="1080"/>
        </w:tabs>
        <w:rPr>
          <w:rFonts w:ascii="Times New Roman" w:hAnsi="Times New Roman"/>
          <w:sz w:val="24"/>
          <w:szCs w:val="24"/>
        </w:rPr>
      </w:pPr>
      <w:r w:rsidRPr="008B4D99">
        <w:rPr>
          <w:rFonts w:ascii="Times New Roman" w:hAnsi="Times New Roman"/>
          <w:sz w:val="24"/>
          <w:szCs w:val="24"/>
        </w:rPr>
        <w:t>рейтинги регионов исследования по стоимости, по времени и суммарный рейтинг получения данной государственной услуги;</w:t>
      </w:r>
    </w:p>
    <w:p w:rsidR="00723674" w:rsidRPr="008B4D99" w:rsidRDefault="00723674" w:rsidP="00823A23">
      <w:pPr>
        <w:numPr>
          <w:ilvl w:val="0"/>
          <w:numId w:val="1"/>
        </w:numPr>
        <w:tabs>
          <w:tab w:val="num" w:pos="1080"/>
        </w:tabs>
        <w:rPr>
          <w:rFonts w:ascii="Times New Roman" w:hAnsi="Times New Roman"/>
          <w:sz w:val="24"/>
          <w:szCs w:val="24"/>
        </w:rPr>
      </w:pPr>
      <w:r w:rsidRPr="008B4D99">
        <w:rPr>
          <w:rFonts w:ascii="Times New Roman" w:hAnsi="Times New Roman"/>
          <w:sz w:val="24"/>
          <w:szCs w:val="24"/>
        </w:rPr>
        <w:t xml:space="preserve">описание проблем правого регулирования и практики предоставления данной государственной услуги. </w:t>
      </w:r>
    </w:p>
    <w:p w:rsidR="00723674" w:rsidRPr="008B4D99" w:rsidRDefault="00723674" w:rsidP="00823A23">
      <w:pPr>
        <w:rPr>
          <w:rFonts w:ascii="Times New Roman" w:hAnsi="Times New Roman"/>
          <w:sz w:val="24"/>
          <w:szCs w:val="24"/>
        </w:rPr>
      </w:pPr>
      <w:r w:rsidRPr="008B4D99">
        <w:rPr>
          <w:rFonts w:ascii="Times New Roman" w:hAnsi="Times New Roman"/>
          <w:sz w:val="24"/>
          <w:szCs w:val="24"/>
        </w:rPr>
        <w:t>В приложении приводятся фактологические данные о стоимости и затратах времени на получение указанных государственных услуг в региональном разрезе</w:t>
      </w:r>
    </w:p>
    <w:p w:rsidR="00723674" w:rsidRPr="008B4D99" w:rsidRDefault="00723674" w:rsidP="002E0AB7">
      <w:pPr>
        <w:rPr>
          <w:rFonts w:ascii="Times New Roman" w:hAnsi="Times New Roman"/>
          <w:sz w:val="24"/>
          <w:szCs w:val="24"/>
        </w:rPr>
      </w:pPr>
    </w:p>
    <w:sectPr w:rsidR="00723674" w:rsidRPr="008B4D99" w:rsidSect="00B721A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3674" w:rsidRDefault="00723674" w:rsidP="00823A23">
      <w:pPr>
        <w:spacing w:after="0" w:line="240" w:lineRule="auto"/>
      </w:pPr>
      <w:r>
        <w:separator/>
      </w:r>
    </w:p>
  </w:endnote>
  <w:endnote w:type="continuationSeparator" w:id="1">
    <w:p w:rsidR="00723674" w:rsidRDefault="00723674" w:rsidP="00823A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3674" w:rsidRDefault="00723674" w:rsidP="00823A23">
      <w:pPr>
        <w:spacing w:after="0" w:line="240" w:lineRule="auto"/>
      </w:pPr>
      <w:r>
        <w:separator/>
      </w:r>
    </w:p>
  </w:footnote>
  <w:footnote w:type="continuationSeparator" w:id="1">
    <w:p w:rsidR="00723674" w:rsidRDefault="00723674" w:rsidP="00823A23">
      <w:pPr>
        <w:spacing w:after="0" w:line="240" w:lineRule="auto"/>
      </w:pPr>
      <w:r>
        <w:continuationSeparator/>
      </w:r>
    </w:p>
  </w:footnote>
  <w:footnote w:id="2">
    <w:p w:rsidR="00723674" w:rsidRDefault="00723674" w:rsidP="00823A23">
      <w:pPr>
        <w:pStyle w:val="FootnoteText"/>
      </w:pPr>
      <w:r>
        <w:rPr>
          <w:rStyle w:val="FootnoteReference"/>
        </w:rPr>
        <w:footnoteRef/>
      </w:r>
      <w:r>
        <w:t xml:space="preserve"> К этим услугам относятся - р</w:t>
      </w:r>
      <w:r w:rsidRPr="00A429A6">
        <w:t xml:space="preserve">егистрация </w:t>
      </w:r>
      <w:r>
        <w:t>и т</w:t>
      </w:r>
      <w:r w:rsidRPr="00A429A6">
        <w:t>ехнический осмотр транспортных средств</w:t>
      </w:r>
      <w:r>
        <w:t>, р</w:t>
      </w:r>
      <w:r w:rsidRPr="00A429A6">
        <w:t>егистрация по месту жительства и месту пребывания</w:t>
      </w:r>
      <w:r>
        <w:t>, выдача общегражданского и заграничного паспорта.</w:t>
      </w:r>
    </w:p>
  </w:footnote>
  <w:footnote w:id="3">
    <w:p w:rsidR="00723674" w:rsidRDefault="00723674" w:rsidP="00823A23">
      <w:pPr>
        <w:pStyle w:val="FootnoteText"/>
      </w:pPr>
      <w:r>
        <w:rPr>
          <w:rStyle w:val="FootnoteReference"/>
        </w:rPr>
        <w:footnoteRef/>
      </w:r>
      <w:r>
        <w:t xml:space="preserve"> Например, для получения лицензии</w:t>
      </w:r>
      <w:r w:rsidRPr="00AE3AAF">
        <w:t xml:space="preserve"> на право сбора, использования,  обезвреживания,  размещения, транспортировки опасных отходов</w:t>
      </w:r>
      <w:r>
        <w:t xml:space="preserve"> необходимо не менее 17 обращений, в том числе не менее 10 обращений в различные организации; открытие точки общепита – 15 обращений, в том числе по 1 обращению в региональные органы власти и муниципальные органы, 8 обращений в организации и т.п.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F075C8"/>
    <w:multiLevelType w:val="hybridMultilevel"/>
    <w:tmpl w:val="AC220BEC"/>
    <w:lvl w:ilvl="0" w:tplc="39501F16">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0462"/>
    <w:rsid w:val="002E0AB7"/>
    <w:rsid w:val="003F0462"/>
    <w:rsid w:val="00723674"/>
    <w:rsid w:val="00797568"/>
    <w:rsid w:val="00823A23"/>
    <w:rsid w:val="008B4D99"/>
    <w:rsid w:val="009520BC"/>
    <w:rsid w:val="00A429A6"/>
    <w:rsid w:val="00AE3AAF"/>
    <w:rsid w:val="00B721A9"/>
    <w:rsid w:val="00D57907"/>
    <w:rsid w:val="00DF2087"/>
    <w:rsid w:val="00E7797F"/>
    <w:rsid w:val="00EC2840"/>
    <w:rsid w:val="00F33BA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1A9"/>
    <w:pPr>
      <w:spacing w:after="200" w:line="276" w:lineRule="auto"/>
    </w:pPr>
    <w:rPr>
      <w:lang w:eastAsia="en-US"/>
    </w:rPr>
  </w:style>
  <w:style w:type="paragraph" w:styleId="Heading3">
    <w:name w:val="heading 3"/>
    <w:basedOn w:val="Normal"/>
    <w:link w:val="Heading3Char"/>
    <w:uiPriority w:val="99"/>
    <w:qFormat/>
    <w:rsid w:val="002E0AB7"/>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2E0AB7"/>
    <w:rPr>
      <w:rFonts w:ascii="Times New Roman" w:hAnsi="Times New Roman" w:cs="Times New Roman"/>
      <w:b/>
      <w:bCs/>
      <w:sz w:val="27"/>
      <w:szCs w:val="27"/>
      <w:lang w:eastAsia="ru-RU"/>
    </w:rPr>
  </w:style>
  <w:style w:type="character" w:customStyle="1" w:styleId="tirinfo">
    <w:name w:val="tir_info"/>
    <w:basedOn w:val="DefaultParagraphFont"/>
    <w:uiPriority w:val="99"/>
    <w:rsid w:val="003F0462"/>
    <w:rPr>
      <w:rFonts w:cs="Times New Roman"/>
    </w:rPr>
  </w:style>
  <w:style w:type="character" w:customStyle="1" w:styleId="authorinfo">
    <w:name w:val="author_info"/>
    <w:basedOn w:val="DefaultParagraphFont"/>
    <w:uiPriority w:val="99"/>
    <w:rsid w:val="003F0462"/>
    <w:rPr>
      <w:rFonts w:cs="Times New Roman"/>
    </w:rPr>
  </w:style>
  <w:style w:type="paragraph" w:styleId="NormalWeb">
    <w:name w:val="Normal (Web)"/>
    <w:basedOn w:val="Normal"/>
    <w:uiPriority w:val="99"/>
    <w:semiHidden/>
    <w:rsid w:val="003F0462"/>
    <w:pPr>
      <w:spacing w:before="100" w:beforeAutospacing="1" w:after="100" w:afterAutospacing="1" w:line="240" w:lineRule="auto"/>
    </w:pPr>
    <w:rPr>
      <w:rFonts w:ascii="Times New Roman" w:eastAsia="Times New Roman" w:hAnsi="Times New Roman"/>
      <w:sz w:val="24"/>
      <w:szCs w:val="24"/>
      <w:lang w:eastAsia="ru-RU"/>
    </w:rPr>
  </w:style>
  <w:style w:type="paragraph" w:styleId="FootnoteText">
    <w:name w:val="footnote text"/>
    <w:aliases w:val="Footnote Text Char,Текст сноски Знак1 Знак,Текст сноски Знак Знак Знак,single space Знак,footnote text Знак,Текст сноски-FN Знак,Table_Footnote_last,Footnote Text Char Знак Знак,single space,Текст сноски-FN,f"/>
    <w:basedOn w:val="Normal"/>
    <w:link w:val="FootnoteTextChar1"/>
    <w:uiPriority w:val="99"/>
    <w:semiHidden/>
    <w:rsid w:val="00823A23"/>
    <w:pPr>
      <w:spacing w:after="0" w:line="240" w:lineRule="auto"/>
    </w:pPr>
    <w:rPr>
      <w:rFonts w:ascii="Times New Roman" w:eastAsia="Times New Roman" w:hAnsi="Times New Roman"/>
      <w:sz w:val="20"/>
      <w:szCs w:val="20"/>
      <w:lang w:eastAsia="ru-RU"/>
    </w:rPr>
  </w:style>
  <w:style w:type="character" w:customStyle="1" w:styleId="FootnoteTextChar1">
    <w:name w:val="Footnote Text Char1"/>
    <w:aliases w:val="Footnote Text Char Char,Текст сноски Знак1 Знак Char,Текст сноски Знак Знак Знак Char,single space Знак Char,footnote text Знак Char,Текст сноски-FN Знак Char,Table_Footnote_last Char,Footnote Text Char Знак Знак Char,f Char"/>
    <w:basedOn w:val="DefaultParagraphFont"/>
    <w:link w:val="FootnoteText"/>
    <w:uiPriority w:val="99"/>
    <w:semiHidden/>
    <w:locked/>
    <w:rsid w:val="00823A23"/>
    <w:rPr>
      <w:rFonts w:ascii="Times New Roman" w:hAnsi="Times New Roman" w:cs="Times New Roman"/>
      <w:sz w:val="20"/>
      <w:szCs w:val="20"/>
      <w:lang w:eastAsia="ru-RU"/>
    </w:rPr>
  </w:style>
  <w:style w:type="character" w:styleId="FootnoteReference">
    <w:name w:val="footnote reference"/>
    <w:aliases w:val="Знак сноски-FN,Знак сноски 1,Ciae niinee-FN,Referencia nota al pie,анкета сноска,SUPERS"/>
    <w:basedOn w:val="DefaultParagraphFont"/>
    <w:uiPriority w:val="99"/>
    <w:semiHidden/>
    <w:rsid w:val="00823A23"/>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823929386">
      <w:marLeft w:val="0"/>
      <w:marRight w:val="0"/>
      <w:marTop w:val="0"/>
      <w:marBottom w:val="0"/>
      <w:divBdr>
        <w:top w:val="none" w:sz="0" w:space="0" w:color="auto"/>
        <w:left w:val="none" w:sz="0" w:space="0" w:color="auto"/>
        <w:bottom w:val="none" w:sz="0" w:space="0" w:color="auto"/>
        <w:right w:val="none" w:sz="0" w:space="0" w:color="auto"/>
      </w:divBdr>
      <w:divsChild>
        <w:div w:id="823929389">
          <w:marLeft w:val="0"/>
          <w:marRight w:val="0"/>
          <w:marTop w:val="0"/>
          <w:marBottom w:val="0"/>
          <w:divBdr>
            <w:top w:val="none" w:sz="0" w:space="0" w:color="auto"/>
            <w:left w:val="none" w:sz="0" w:space="0" w:color="auto"/>
            <w:bottom w:val="none" w:sz="0" w:space="0" w:color="auto"/>
            <w:right w:val="none" w:sz="0" w:space="0" w:color="auto"/>
          </w:divBdr>
        </w:div>
      </w:divsChild>
    </w:div>
    <w:div w:id="823929388">
      <w:marLeft w:val="0"/>
      <w:marRight w:val="0"/>
      <w:marTop w:val="0"/>
      <w:marBottom w:val="0"/>
      <w:divBdr>
        <w:top w:val="none" w:sz="0" w:space="0" w:color="auto"/>
        <w:left w:val="none" w:sz="0" w:space="0" w:color="auto"/>
        <w:bottom w:val="none" w:sz="0" w:space="0" w:color="auto"/>
        <w:right w:val="none" w:sz="0" w:space="0" w:color="auto"/>
      </w:divBdr>
      <w:divsChild>
        <w:div w:id="823929385">
          <w:marLeft w:val="0"/>
          <w:marRight w:val="0"/>
          <w:marTop w:val="0"/>
          <w:marBottom w:val="0"/>
          <w:divBdr>
            <w:top w:val="none" w:sz="0" w:space="0" w:color="auto"/>
            <w:left w:val="none" w:sz="0" w:space="0" w:color="auto"/>
            <w:bottom w:val="none" w:sz="0" w:space="0" w:color="auto"/>
            <w:right w:val="none" w:sz="0" w:space="0" w:color="auto"/>
          </w:divBdr>
        </w:div>
        <w:div w:id="823929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6</Pages>
  <Words>1866</Words>
  <Characters>10638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публикации</dc:title>
  <dc:subject/>
  <dc:creator>Шура</dc:creator>
  <cp:keywords/>
  <dc:description/>
  <cp:lastModifiedBy>User</cp:lastModifiedBy>
  <cp:revision>2</cp:revision>
  <dcterms:created xsi:type="dcterms:W3CDTF">2011-09-28T09:31:00Z</dcterms:created>
  <dcterms:modified xsi:type="dcterms:W3CDTF">2011-09-28T09:31:00Z</dcterms:modified>
</cp:coreProperties>
</file>